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30" w:rsidRPr="00056E62" w:rsidRDefault="00F67030" w:rsidP="00F67030">
      <w:pPr>
        <w:spacing w:after="153"/>
        <w:ind w:right="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7030" w:rsidRPr="00056E62" w:rsidRDefault="00F67030" w:rsidP="00F67030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6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A17A976" wp14:editId="38CCF533">
            <wp:extent cx="5760720" cy="152209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sbd_k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030" w:rsidRPr="00056E62" w:rsidRDefault="00F67030" w:rsidP="00F67030">
      <w:pPr>
        <w:tabs>
          <w:tab w:val="left" w:pos="284"/>
          <w:tab w:val="left" w:pos="709"/>
        </w:tabs>
        <w:spacing w:before="100" w:beforeAutospacing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spacing w:before="100" w:beforeAutospacing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spacing w:before="100" w:beforeAutospacing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Instrukcja instalacji programów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IDProtect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oraz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nPodpis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w celu podpisania przelewów w bankowości elektronicznej dostarczanej przez Bank Spółdzielczy im. Stefczyka w Belsku Dużym</w:t>
      </w:r>
    </w:p>
    <w:p w:rsidR="00F67030" w:rsidRPr="00056E62" w:rsidRDefault="00F67030" w:rsidP="00F67030">
      <w:pPr>
        <w:tabs>
          <w:tab w:val="left" w:pos="284"/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030" w:rsidRPr="00056E62" w:rsidRDefault="00F67030" w:rsidP="00F67030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E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Belsk Duży, 2022</w:t>
      </w:r>
    </w:p>
    <w:p w:rsidR="0080120D" w:rsidRDefault="00F67030" w:rsidP="00F67030">
      <w:pPr>
        <w:pStyle w:val="Nagwek2"/>
        <w:numPr>
          <w:ilvl w:val="0"/>
          <w:numId w:val="1"/>
        </w:numPr>
        <w:rPr>
          <w:sz w:val="28"/>
        </w:rPr>
      </w:pPr>
      <w:bookmarkStart w:id="0" w:name="_Toc109033862"/>
      <w:r>
        <w:rPr>
          <w:sz w:val="28"/>
        </w:rPr>
        <w:lastRenderedPageBreak/>
        <w:t>Lokalizacja plików instalacyjnych aplikacji.</w:t>
      </w:r>
      <w:bookmarkEnd w:id="0"/>
    </w:p>
    <w:p w:rsidR="00F67030" w:rsidRDefault="00F67030" w:rsidP="00F67030">
      <w:pPr>
        <w:ind w:left="360"/>
      </w:pPr>
    </w:p>
    <w:p w:rsidR="00F67030" w:rsidRDefault="00F67030" w:rsidP="00F67030">
      <w:pPr>
        <w:ind w:left="360"/>
      </w:pPr>
      <w:r>
        <w:t xml:space="preserve">Główna strona poświęcona Bankowi Spółdzielczemu im. Stefczyka w Belsku Dużym dostępna pod adresem </w:t>
      </w:r>
      <w:hyperlink r:id="rId8" w:history="1">
        <w:r w:rsidRPr="00EC1E1A">
          <w:rPr>
            <w:rStyle w:val="Hipercze"/>
          </w:rPr>
          <w:t>https://bsbd.pl/</w:t>
        </w:r>
      </w:hyperlink>
      <w:r>
        <w:t xml:space="preserve"> posiada przycisk w celu przekierowania na stronę logowania bankowości elektronicznej (rys.1) Online BSBD. Bezpośredni adres wyszukiwania witryny bankowości dostępny jest pod adresem </w:t>
      </w:r>
      <w:hyperlink r:id="rId9" w:history="1">
        <w:r w:rsidRPr="00EC1E1A">
          <w:rPr>
            <w:rStyle w:val="Hipercze"/>
          </w:rPr>
          <w:t>https://online.bsbd.pl/StartPage.aspx</w:t>
        </w:r>
      </w:hyperlink>
      <w:r>
        <w:t xml:space="preserve">. </w:t>
      </w:r>
    </w:p>
    <w:p w:rsidR="00F67030" w:rsidRDefault="00F67030" w:rsidP="00F67030">
      <w:pPr>
        <w:keepNext/>
        <w:ind w:left="360"/>
      </w:pPr>
      <w:r w:rsidRPr="00F67030">
        <w:rPr>
          <w:noProof/>
        </w:rPr>
        <w:drawing>
          <wp:inline distT="0" distB="0" distL="0" distR="0" wp14:anchorId="540B9355" wp14:editId="5B20050F">
            <wp:extent cx="5760720" cy="508335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030" w:rsidRDefault="00F67030" w:rsidP="00F67030">
      <w:pPr>
        <w:pStyle w:val="Legenda"/>
        <w:jc w:val="center"/>
      </w:pPr>
      <w:r>
        <w:t xml:space="preserve">rys </w:t>
      </w:r>
      <w:r>
        <w:fldChar w:fldCharType="begin"/>
      </w:r>
      <w:r>
        <w:instrText xml:space="preserve"> SEQ rys \* ARABIC </w:instrText>
      </w:r>
      <w:r>
        <w:fldChar w:fldCharType="separate"/>
      </w:r>
      <w:r w:rsidR="00A634F8">
        <w:rPr>
          <w:noProof/>
        </w:rPr>
        <w:t>1</w:t>
      </w:r>
      <w:r>
        <w:fldChar w:fldCharType="end"/>
      </w:r>
      <w:r>
        <w:t xml:space="preserve"> Menu strony </w:t>
      </w:r>
      <w:hyperlink r:id="rId11" w:history="1">
        <w:r w:rsidRPr="00EC1E1A">
          <w:rPr>
            <w:rStyle w:val="Hipercze"/>
          </w:rPr>
          <w:t>https://bsbd.pl/</w:t>
        </w:r>
      </w:hyperlink>
    </w:p>
    <w:p w:rsidR="00F67030" w:rsidRDefault="00F67030" w:rsidP="00F67030"/>
    <w:p w:rsidR="00F67030" w:rsidRDefault="00EF7922" w:rsidP="00F67030">
      <w:pPr>
        <w:pStyle w:val="Nagwek2"/>
        <w:numPr>
          <w:ilvl w:val="1"/>
          <w:numId w:val="1"/>
        </w:numPr>
      </w:pPr>
      <w:r>
        <w:t xml:space="preserve"> </w:t>
      </w:r>
      <w:bookmarkStart w:id="1" w:name="_Toc109033863"/>
      <w:r>
        <w:t>Strona logowania</w:t>
      </w:r>
      <w:bookmarkEnd w:id="1"/>
    </w:p>
    <w:p w:rsidR="00EF7922" w:rsidRDefault="00EF7922" w:rsidP="00EF7922"/>
    <w:p w:rsidR="00EF7922" w:rsidRDefault="00EF7922" w:rsidP="00EF7922">
      <w:pPr>
        <w:ind w:left="360"/>
      </w:pPr>
      <w:r>
        <w:t>Strona logowania do bankowości elektronicznej w tym samym oknie, w którym Państwo podają swój Identyfikator w celu zalogowania się, ma dostępne poniżej potrzebne pliki do zainstalowania (rys.2).</w:t>
      </w:r>
    </w:p>
    <w:p w:rsidR="00EF7922" w:rsidRDefault="00EF7922" w:rsidP="00EF7922">
      <w:pPr>
        <w:pStyle w:val="Akapitzlist"/>
        <w:numPr>
          <w:ilvl w:val="0"/>
          <w:numId w:val="5"/>
        </w:numPr>
      </w:pPr>
      <w:proofErr w:type="spellStart"/>
      <w:r>
        <w:t>nPodpis</w:t>
      </w:r>
      <w:proofErr w:type="spellEnd"/>
      <w:r>
        <w:t xml:space="preserve"> – program do autoryzacji przelewów</w:t>
      </w:r>
    </w:p>
    <w:p w:rsidR="00EF7922" w:rsidRDefault="00EF7922" w:rsidP="00EF7922">
      <w:pPr>
        <w:pStyle w:val="Akapitzlist"/>
        <w:numPr>
          <w:ilvl w:val="0"/>
          <w:numId w:val="5"/>
        </w:numPr>
      </w:pPr>
      <w:r>
        <w:t xml:space="preserve">ID </w:t>
      </w:r>
      <w:proofErr w:type="spellStart"/>
      <w:r>
        <w:t>Protect</w:t>
      </w:r>
      <w:proofErr w:type="spellEnd"/>
      <w:r>
        <w:t xml:space="preserve"> – program do obsługi certyfikatów</w:t>
      </w:r>
    </w:p>
    <w:p w:rsidR="00EF7922" w:rsidRDefault="00EF7922" w:rsidP="00EF7922">
      <w:pPr>
        <w:ind w:left="360"/>
      </w:pPr>
      <w:r>
        <w:t>Poprzez naciśnięcie jednego z linków rozpocznie się pobieranie.</w:t>
      </w:r>
    </w:p>
    <w:p w:rsidR="00EF7922" w:rsidRDefault="00EF7922" w:rsidP="00EF7922">
      <w:pPr>
        <w:keepNext/>
        <w:ind w:left="360"/>
        <w:jc w:val="center"/>
      </w:pPr>
      <w:r w:rsidRPr="00EF7922">
        <w:rPr>
          <w:noProof/>
        </w:rPr>
        <w:drawing>
          <wp:inline distT="0" distB="0" distL="0" distR="0" wp14:anchorId="1C672814" wp14:editId="3C793AD1">
            <wp:extent cx="2896695" cy="4057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7099" cy="405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922" w:rsidRDefault="00EF7922" w:rsidP="00EF7922">
      <w:pPr>
        <w:pStyle w:val="Legenda"/>
        <w:jc w:val="center"/>
      </w:pPr>
      <w:r>
        <w:t xml:space="preserve">rys </w:t>
      </w:r>
      <w:r>
        <w:fldChar w:fldCharType="begin"/>
      </w:r>
      <w:r>
        <w:instrText xml:space="preserve"> SEQ rys \* ARABIC </w:instrText>
      </w:r>
      <w:r>
        <w:fldChar w:fldCharType="separate"/>
      </w:r>
      <w:r w:rsidR="00A634F8">
        <w:rPr>
          <w:noProof/>
        </w:rPr>
        <w:t>2</w:t>
      </w:r>
      <w:r>
        <w:fldChar w:fldCharType="end"/>
      </w:r>
      <w:r>
        <w:t xml:space="preserve"> Menu logowania</w:t>
      </w:r>
    </w:p>
    <w:p w:rsidR="00EF7922" w:rsidRDefault="00EF7922" w:rsidP="00EF7922">
      <w:pPr>
        <w:pStyle w:val="Nagwek2"/>
        <w:numPr>
          <w:ilvl w:val="0"/>
          <w:numId w:val="1"/>
        </w:numPr>
        <w:rPr>
          <w:sz w:val="28"/>
        </w:rPr>
      </w:pPr>
      <w:bookmarkStart w:id="2" w:name="_Toc109033864"/>
      <w:r>
        <w:rPr>
          <w:sz w:val="28"/>
        </w:rPr>
        <w:lastRenderedPageBreak/>
        <w:t xml:space="preserve">ID </w:t>
      </w:r>
      <w:proofErr w:type="spellStart"/>
      <w:r>
        <w:rPr>
          <w:sz w:val="28"/>
        </w:rPr>
        <w:t>Protect</w:t>
      </w:r>
      <w:proofErr w:type="spellEnd"/>
      <w:r>
        <w:rPr>
          <w:sz w:val="28"/>
        </w:rPr>
        <w:t xml:space="preserve"> – Instalacja oprogramowania</w:t>
      </w:r>
      <w:bookmarkEnd w:id="2"/>
      <w:r>
        <w:rPr>
          <w:sz w:val="28"/>
        </w:rPr>
        <w:t xml:space="preserve"> </w:t>
      </w:r>
    </w:p>
    <w:p w:rsidR="00EF7922" w:rsidRDefault="00EF7922" w:rsidP="00EF7922"/>
    <w:p w:rsidR="00EF7922" w:rsidRDefault="00EF7922" w:rsidP="00EF7922">
      <w:r>
        <w:t>Instalację oprogramowania do karty należy rozpocząć od wybrania właściwej wersji instalacyjnej: dla Windows 32 bitowego - plik „IDProtectClient.msi”, dla Windows 64 bitowego - plik „IDProtectClientx64.msi”.</w:t>
      </w:r>
    </w:p>
    <w:p w:rsidR="00EF7922" w:rsidRDefault="00EF7922" w:rsidP="00EF7922">
      <w:pPr>
        <w:keepNext/>
        <w:jc w:val="center"/>
      </w:pPr>
      <w:r w:rsidRPr="00EF7922">
        <w:rPr>
          <w:noProof/>
        </w:rPr>
        <w:drawing>
          <wp:inline distT="0" distB="0" distL="0" distR="0" wp14:anchorId="45E5803D" wp14:editId="10757682">
            <wp:extent cx="5496693" cy="1686160"/>
            <wp:effectExtent l="0" t="0" r="889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6693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922" w:rsidRDefault="00EF7922" w:rsidP="00EF7922">
      <w:pPr>
        <w:pStyle w:val="Legenda"/>
        <w:jc w:val="center"/>
      </w:pPr>
      <w:r>
        <w:t xml:space="preserve">rys </w:t>
      </w:r>
      <w:r>
        <w:fldChar w:fldCharType="begin"/>
      </w:r>
      <w:r>
        <w:instrText xml:space="preserve"> SEQ rys \* ARABIC </w:instrText>
      </w:r>
      <w:r>
        <w:fldChar w:fldCharType="separate"/>
      </w:r>
      <w:r w:rsidR="00A634F8">
        <w:rPr>
          <w:noProof/>
        </w:rPr>
        <w:t>3</w:t>
      </w:r>
      <w:r>
        <w:fldChar w:fldCharType="end"/>
      </w:r>
      <w:r>
        <w:t xml:space="preserve"> Katalog ID </w:t>
      </w:r>
      <w:proofErr w:type="spellStart"/>
      <w:r>
        <w:t>Protect</w:t>
      </w:r>
      <w:proofErr w:type="spellEnd"/>
      <w:r>
        <w:t xml:space="preserve"> - dostępny do pobrania</w:t>
      </w:r>
    </w:p>
    <w:p w:rsidR="00EF7922" w:rsidRDefault="00EF7922" w:rsidP="00EF7922">
      <w:r>
        <w:t>Po włączeniu instalatora pojawi się ekran powitalny, z którego przechodzimy do następnego ekranu, klikając w przycisk „</w:t>
      </w:r>
      <w:proofErr w:type="spellStart"/>
      <w:r>
        <w:t>Next</w:t>
      </w:r>
      <w:proofErr w:type="spellEnd"/>
      <w:r>
        <w:t>”.</w:t>
      </w:r>
    </w:p>
    <w:p w:rsidR="00EF7922" w:rsidRDefault="00EF7922" w:rsidP="00EF7922">
      <w:pPr>
        <w:keepNext/>
        <w:jc w:val="center"/>
      </w:pPr>
      <w:r w:rsidRPr="00EF7922">
        <w:rPr>
          <w:noProof/>
        </w:rPr>
        <w:drawing>
          <wp:inline distT="0" distB="0" distL="0" distR="0" wp14:anchorId="0F7ED848" wp14:editId="103BECDE">
            <wp:extent cx="3639058" cy="2753109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922" w:rsidRDefault="00EF7922" w:rsidP="00EF7922">
      <w:pPr>
        <w:pStyle w:val="Legenda"/>
        <w:jc w:val="center"/>
      </w:pPr>
      <w:r>
        <w:t xml:space="preserve">rys </w:t>
      </w:r>
      <w:r>
        <w:fldChar w:fldCharType="begin"/>
      </w:r>
      <w:r>
        <w:instrText xml:space="preserve"> SEQ rys \* ARABIC </w:instrText>
      </w:r>
      <w:r>
        <w:fldChar w:fldCharType="separate"/>
      </w:r>
      <w:r w:rsidR="00A634F8">
        <w:rPr>
          <w:noProof/>
        </w:rPr>
        <w:t>4</w:t>
      </w:r>
      <w:r>
        <w:fldChar w:fldCharType="end"/>
      </w:r>
      <w:r>
        <w:t xml:space="preserve"> Okno powitalne instalatora ID </w:t>
      </w:r>
      <w:proofErr w:type="spellStart"/>
      <w:r>
        <w:t>Protect</w:t>
      </w:r>
      <w:proofErr w:type="spellEnd"/>
    </w:p>
    <w:p w:rsidR="00EF7922" w:rsidRDefault="00EF7922" w:rsidP="00EF7922">
      <w:r>
        <w:t xml:space="preserve">Kolejny krok to potwierdzenie umowy licencyjnej – wybieramy „I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terms</w:t>
      </w:r>
      <w:proofErr w:type="spellEnd"/>
      <w:r>
        <w:t xml:space="preserve"> in the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”:</w:t>
      </w:r>
    </w:p>
    <w:p w:rsidR="00EF7922" w:rsidRDefault="00EF7922" w:rsidP="00EF7922">
      <w:pPr>
        <w:keepNext/>
        <w:jc w:val="center"/>
      </w:pPr>
      <w:r w:rsidRPr="00EF7922">
        <w:rPr>
          <w:noProof/>
        </w:rPr>
        <w:lastRenderedPageBreak/>
        <w:drawing>
          <wp:inline distT="0" distB="0" distL="0" distR="0" wp14:anchorId="1052A91A" wp14:editId="4E2E0C4F">
            <wp:extent cx="3439005" cy="264832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922" w:rsidRDefault="00EF7922" w:rsidP="00EF7922">
      <w:pPr>
        <w:pStyle w:val="Legenda"/>
        <w:jc w:val="center"/>
      </w:pPr>
      <w:r>
        <w:t xml:space="preserve">rys </w:t>
      </w:r>
      <w:r>
        <w:fldChar w:fldCharType="begin"/>
      </w:r>
      <w:r>
        <w:instrText xml:space="preserve"> SEQ rys \* ARABIC </w:instrText>
      </w:r>
      <w:r>
        <w:fldChar w:fldCharType="separate"/>
      </w:r>
      <w:r w:rsidR="00A634F8">
        <w:rPr>
          <w:noProof/>
        </w:rPr>
        <w:t>5</w:t>
      </w:r>
      <w:r>
        <w:fldChar w:fldCharType="end"/>
      </w:r>
      <w:r>
        <w:t xml:space="preserve"> Potwierdzenie umowy licencyjnej</w:t>
      </w:r>
    </w:p>
    <w:p w:rsidR="00EF7922" w:rsidRPr="00EF7922" w:rsidRDefault="009B4EBB" w:rsidP="00EF7922">
      <w:r>
        <w:t xml:space="preserve">W następnym oknie należy wybrać typ instalacji, </w:t>
      </w:r>
      <w:proofErr w:type="spellStart"/>
      <w:r>
        <w:t>Typical</w:t>
      </w:r>
      <w:proofErr w:type="spellEnd"/>
      <w:r>
        <w:t xml:space="preserve"> Microsoft CSP – typowa instalacja dla oprogramowania Microsoft lub </w:t>
      </w:r>
      <w:proofErr w:type="spellStart"/>
      <w:r>
        <w:t>custom</w:t>
      </w:r>
      <w:proofErr w:type="spellEnd"/>
      <w:r>
        <w:t>, jeżeli chcemy zmienić coś w instalacji.</w:t>
      </w:r>
    </w:p>
    <w:p w:rsidR="009B4EBB" w:rsidRDefault="009B4EBB" w:rsidP="009B4EBB">
      <w:pPr>
        <w:keepNext/>
        <w:ind w:left="360"/>
        <w:jc w:val="center"/>
      </w:pPr>
      <w:r w:rsidRPr="009B4EBB">
        <w:drawing>
          <wp:inline distT="0" distB="0" distL="0" distR="0" wp14:anchorId="5380DA3B" wp14:editId="1140F6C2">
            <wp:extent cx="4174470" cy="3181350"/>
            <wp:effectExtent l="190500" t="190500" r="188595" b="19050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75053" cy="3181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7030" w:rsidRDefault="009B4EBB" w:rsidP="009B4EBB">
      <w:pPr>
        <w:pStyle w:val="Legenda"/>
        <w:jc w:val="center"/>
      </w:pPr>
      <w:r>
        <w:t xml:space="preserve">rys </w:t>
      </w:r>
      <w:r>
        <w:fldChar w:fldCharType="begin"/>
      </w:r>
      <w:r>
        <w:instrText xml:space="preserve"> SEQ rys \* ARABIC </w:instrText>
      </w:r>
      <w:r>
        <w:fldChar w:fldCharType="separate"/>
      </w:r>
      <w:r w:rsidR="00A634F8">
        <w:rPr>
          <w:noProof/>
        </w:rPr>
        <w:t>6</w:t>
      </w:r>
      <w:r>
        <w:fldChar w:fldCharType="end"/>
      </w:r>
      <w:r>
        <w:t xml:space="preserve"> Okno wyboru typu instalacji</w:t>
      </w:r>
    </w:p>
    <w:p w:rsidR="009B4EBB" w:rsidRDefault="009B4EBB" w:rsidP="009B4EBB">
      <w:r>
        <w:t>Po wybraniu wszystkich wymaganych komponentów przechodzimy dalej do następnego ekranu, gdzie potwierdzamy instalację przyciskiem „</w:t>
      </w:r>
      <w:proofErr w:type="spellStart"/>
      <w:r>
        <w:t>Install</w:t>
      </w:r>
      <w:proofErr w:type="spellEnd"/>
      <w:r>
        <w:t>”:</w:t>
      </w:r>
    </w:p>
    <w:p w:rsidR="009B4EBB" w:rsidRDefault="009B4EBB" w:rsidP="009B4EBB">
      <w:pPr>
        <w:keepNext/>
        <w:jc w:val="center"/>
      </w:pPr>
      <w:r w:rsidRPr="009B4EBB">
        <w:lastRenderedPageBreak/>
        <w:drawing>
          <wp:inline distT="0" distB="0" distL="0" distR="0" wp14:anchorId="3F223F17" wp14:editId="1FDB19FE">
            <wp:extent cx="3553321" cy="272453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EBB" w:rsidRDefault="009B4EBB" w:rsidP="009B4EBB">
      <w:pPr>
        <w:pStyle w:val="Legenda"/>
        <w:jc w:val="center"/>
      </w:pPr>
      <w:r>
        <w:t xml:space="preserve">rys </w:t>
      </w:r>
      <w:r>
        <w:fldChar w:fldCharType="begin"/>
      </w:r>
      <w:r>
        <w:instrText xml:space="preserve"> SEQ rys \* ARABIC </w:instrText>
      </w:r>
      <w:r>
        <w:fldChar w:fldCharType="separate"/>
      </w:r>
      <w:r w:rsidR="00A634F8">
        <w:rPr>
          <w:noProof/>
        </w:rPr>
        <w:t>7</w:t>
      </w:r>
      <w:r>
        <w:fldChar w:fldCharType="end"/>
      </w:r>
      <w:r>
        <w:t xml:space="preserve"> Okno instalatora gotowego do instalacji</w:t>
      </w:r>
    </w:p>
    <w:p w:rsidR="009B4EBB" w:rsidRDefault="009B4EBB" w:rsidP="009B4EBB">
      <w:r>
        <w:t>Następuje instalacja oprogramowania. Po jej zakończeniu nie ma potrzeby restartowania systemu.</w:t>
      </w:r>
    </w:p>
    <w:p w:rsidR="009A5B23" w:rsidRDefault="009A5B23" w:rsidP="009B4EBB"/>
    <w:p w:rsidR="009A5B23" w:rsidRDefault="009A5B23" w:rsidP="009A5B23">
      <w:pPr>
        <w:pStyle w:val="Nagwek2"/>
        <w:numPr>
          <w:ilvl w:val="0"/>
          <w:numId w:val="1"/>
        </w:numPr>
      </w:pPr>
      <w:bookmarkStart w:id="3" w:name="_Toc109033865"/>
      <w:r>
        <w:t>Korzystanie z oprogramowania</w:t>
      </w:r>
      <w:bookmarkEnd w:id="3"/>
    </w:p>
    <w:p w:rsidR="009A5B23" w:rsidRDefault="009A5B23" w:rsidP="009A5B23">
      <w:pPr>
        <w:ind w:left="360"/>
      </w:pPr>
    </w:p>
    <w:p w:rsidR="009A5B23" w:rsidRDefault="009A5B23" w:rsidP="009A5B23">
      <w:pPr>
        <w:ind w:left="360"/>
      </w:pPr>
      <w:r>
        <w:t>Po wykonaniu instalacji w systemie operacyjnym dostępne są następujące aplikacje:</w:t>
      </w:r>
    </w:p>
    <w:p w:rsidR="009A5B23" w:rsidRPr="009A5B23" w:rsidRDefault="009A5B23" w:rsidP="009A5B23">
      <w:pPr>
        <w:pStyle w:val="Akapitzlist"/>
        <w:numPr>
          <w:ilvl w:val="0"/>
          <w:numId w:val="7"/>
        </w:numPr>
        <w:rPr>
          <w:b/>
        </w:rPr>
      </w:pPr>
      <w:proofErr w:type="spellStart"/>
      <w:r w:rsidRPr="009A5B23">
        <w:rPr>
          <w:b/>
        </w:rPr>
        <w:t>IDProtect</w:t>
      </w:r>
      <w:proofErr w:type="spellEnd"/>
      <w:r w:rsidRPr="009A5B23">
        <w:rPr>
          <w:b/>
        </w:rPr>
        <w:t xml:space="preserve"> Manager</w:t>
      </w:r>
      <w:r>
        <w:rPr>
          <w:b/>
        </w:rPr>
        <w:t xml:space="preserve">: </w:t>
      </w:r>
      <w:r>
        <w:t xml:space="preserve">Pozwala podejrzeć klucze i certyfikaty na pendrive. Działa w tle i jest widoczny na pasku zadań pod ikonką </w:t>
      </w:r>
      <w:r w:rsidRPr="009A5B23">
        <w:drawing>
          <wp:inline distT="0" distB="0" distL="0" distR="0" wp14:anchorId="08BA32FD" wp14:editId="20830025">
            <wp:extent cx="257211" cy="266737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Domyślnie uruchamia się przy starcie systemu;</w:t>
      </w:r>
    </w:p>
    <w:p w:rsidR="009A5B23" w:rsidRPr="009A5B23" w:rsidRDefault="009A5B23" w:rsidP="009A5B23">
      <w:pPr>
        <w:pStyle w:val="Akapitzlist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IDProtect</w:t>
      </w:r>
      <w:proofErr w:type="spellEnd"/>
      <w:r>
        <w:rPr>
          <w:b/>
        </w:rPr>
        <w:t xml:space="preserve"> Format:</w:t>
      </w:r>
      <w:r>
        <w:t xml:space="preserve"> Umożliwia sformatowanie karty;</w:t>
      </w:r>
    </w:p>
    <w:p w:rsidR="009A5B23" w:rsidRPr="009A5B23" w:rsidRDefault="009A5B23" w:rsidP="009A5B23">
      <w:pPr>
        <w:pStyle w:val="Akapitzlist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IDProtect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PINTool</w:t>
      </w:r>
      <w:proofErr w:type="spellEnd"/>
      <w:r>
        <w:rPr>
          <w:b/>
        </w:rPr>
        <w:t>:</w:t>
      </w:r>
      <w:r>
        <w:t xml:space="preserve"> Umożliwia zmianę </w:t>
      </w:r>
      <w:proofErr w:type="spellStart"/>
      <w:r>
        <w:t>PINu</w:t>
      </w:r>
      <w:proofErr w:type="spellEnd"/>
      <w:r>
        <w:t xml:space="preserve"> do karty;</w:t>
      </w:r>
    </w:p>
    <w:p w:rsidR="009A5B23" w:rsidRPr="009A5B23" w:rsidRDefault="009A5B23" w:rsidP="009A5B23">
      <w:pPr>
        <w:pStyle w:val="Akapitzlist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IDProtect</w:t>
      </w:r>
      <w:proofErr w:type="spellEnd"/>
      <w:r>
        <w:rPr>
          <w:b/>
        </w:rPr>
        <w:t xml:space="preserve"> Admin PIN </w:t>
      </w:r>
      <w:proofErr w:type="spellStart"/>
      <w:r>
        <w:rPr>
          <w:b/>
        </w:rPr>
        <w:t>Tool</w:t>
      </w:r>
      <w:proofErr w:type="spellEnd"/>
      <w:r>
        <w:rPr>
          <w:b/>
        </w:rPr>
        <w:t>:</w:t>
      </w:r>
      <w:r>
        <w:t xml:space="preserve"> Umożliwia zmianę </w:t>
      </w:r>
      <w:proofErr w:type="spellStart"/>
      <w:r>
        <w:t>PUKu</w:t>
      </w:r>
      <w:proofErr w:type="spellEnd"/>
      <w:r>
        <w:t xml:space="preserve"> do karty.</w:t>
      </w:r>
    </w:p>
    <w:p w:rsidR="009A5B23" w:rsidRDefault="009A5B23" w:rsidP="009A5B23">
      <w:pPr>
        <w:ind w:left="708"/>
      </w:pPr>
      <w:r>
        <w:t>W dalszej części zostały opisane najważniejsze funkcjonalności opisanych powyżej aplikacji.</w:t>
      </w:r>
    </w:p>
    <w:p w:rsidR="009A5B23" w:rsidRDefault="009A5B23" w:rsidP="009A5B23">
      <w:pPr>
        <w:pStyle w:val="Nagwek2"/>
        <w:numPr>
          <w:ilvl w:val="1"/>
          <w:numId w:val="1"/>
        </w:numPr>
      </w:pPr>
      <w:r>
        <w:t xml:space="preserve"> </w:t>
      </w:r>
      <w:bookmarkStart w:id="4" w:name="_Toc109033866"/>
      <w:proofErr w:type="spellStart"/>
      <w:r>
        <w:t>IDProtect</w:t>
      </w:r>
      <w:proofErr w:type="spellEnd"/>
      <w:r>
        <w:t xml:space="preserve"> Manager</w:t>
      </w:r>
      <w:bookmarkEnd w:id="4"/>
    </w:p>
    <w:p w:rsidR="009A5B23" w:rsidRDefault="009A5B23" w:rsidP="009A5B23">
      <w:pPr>
        <w:ind w:left="360"/>
      </w:pPr>
    </w:p>
    <w:p w:rsidR="009A5B23" w:rsidRDefault="009A5B23" w:rsidP="009A5B23">
      <w:pPr>
        <w:ind w:left="360"/>
      </w:pPr>
      <w:r>
        <w:t>Po włączeniu aplikacji w lewej sekcji widoczne są wszystkie podłączone czytniki. Należy wybrać czytnik, w którym znajduje się certyfikat. Aplikacja wyświetli podstawowe informacje o karcie w zakładce „General”. Są to przede wszystkim nazwa karty, wersja systemu operacyjnego, nr seryjny karty oraz rozmiar pozostałego miejsca.</w:t>
      </w:r>
    </w:p>
    <w:p w:rsidR="009A5B23" w:rsidRDefault="009A5B23" w:rsidP="009A5B23">
      <w:pPr>
        <w:keepNext/>
        <w:ind w:left="360"/>
        <w:jc w:val="center"/>
      </w:pPr>
      <w:r w:rsidRPr="009A5B23">
        <w:lastRenderedPageBreak/>
        <w:drawing>
          <wp:inline distT="0" distB="0" distL="0" distR="0" wp14:anchorId="471CAB5A" wp14:editId="31E67EAD">
            <wp:extent cx="3639058" cy="2657846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B23" w:rsidRDefault="009A5B23" w:rsidP="009A5B23">
      <w:pPr>
        <w:pStyle w:val="Legenda"/>
        <w:jc w:val="center"/>
      </w:pPr>
      <w:r>
        <w:t xml:space="preserve">rys </w:t>
      </w:r>
      <w:r>
        <w:fldChar w:fldCharType="begin"/>
      </w:r>
      <w:r>
        <w:instrText xml:space="preserve"> SEQ rys \* ARABIC </w:instrText>
      </w:r>
      <w:r>
        <w:fldChar w:fldCharType="separate"/>
      </w:r>
      <w:r w:rsidR="00A634F8">
        <w:rPr>
          <w:noProof/>
        </w:rPr>
        <w:t>8</w:t>
      </w:r>
      <w:r>
        <w:fldChar w:fldCharType="end"/>
      </w:r>
      <w:r>
        <w:t xml:space="preserve"> Okno </w:t>
      </w:r>
      <w:proofErr w:type="spellStart"/>
      <w:r>
        <w:t>IDProtect</w:t>
      </w:r>
      <w:proofErr w:type="spellEnd"/>
      <w:r>
        <w:t xml:space="preserve"> Manager</w:t>
      </w:r>
    </w:p>
    <w:p w:rsidR="009A5B23" w:rsidRDefault="009A5B23" w:rsidP="009A5B23">
      <w:r>
        <w:t>Aby wyświetlić zawartość karty należy przełączyć się na zakładkę „</w:t>
      </w:r>
      <w:proofErr w:type="spellStart"/>
      <w:r>
        <w:t>Certificates</w:t>
      </w:r>
      <w:proofErr w:type="spellEnd"/>
      <w:r>
        <w:t xml:space="preserve"> &amp; </w:t>
      </w:r>
      <w:proofErr w:type="spellStart"/>
      <w:r>
        <w:t>Keys</w:t>
      </w:r>
      <w:proofErr w:type="spellEnd"/>
      <w:r>
        <w:t xml:space="preserve">”. Aplikacja poprosi o podanie </w:t>
      </w:r>
      <w:proofErr w:type="spellStart"/>
      <w:r>
        <w:t>PINu</w:t>
      </w:r>
      <w:proofErr w:type="spellEnd"/>
      <w:r>
        <w:t xml:space="preserve"> – startowy dla klientów BSBD to 1111 (należy zmienić zaznaczając kwadrat „</w:t>
      </w:r>
      <w:proofErr w:type="spellStart"/>
      <w:r>
        <w:t>Change</w:t>
      </w:r>
      <w:proofErr w:type="spellEnd"/>
      <w:r>
        <w:t xml:space="preserve"> PIN </w:t>
      </w:r>
      <w:proofErr w:type="spellStart"/>
      <w:r>
        <w:t>verification</w:t>
      </w:r>
      <w:proofErr w:type="spellEnd"/>
      <w:r>
        <w:t xml:space="preserve">” lub aplikacją </w:t>
      </w:r>
      <w:proofErr w:type="spellStart"/>
      <w:r w:rsidR="00722552">
        <w:t>IDProtext</w:t>
      </w:r>
      <w:proofErr w:type="spellEnd"/>
      <w:r w:rsidR="00722552">
        <w:t xml:space="preserve"> </w:t>
      </w:r>
      <w:proofErr w:type="spellStart"/>
      <w:r w:rsidR="00722552">
        <w:t>PINTool</w:t>
      </w:r>
      <w:proofErr w:type="spellEnd"/>
      <w:r w:rsidR="00722552">
        <w:t>).</w:t>
      </w:r>
    </w:p>
    <w:p w:rsidR="009A5B23" w:rsidRDefault="009A5B23" w:rsidP="009A5B23">
      <w:pPr>
        <w:keepNext/>
        <w:jc w:val="center"/>
      </w:pPr>
      <w:r w:rsidRPr="009A5B23">
        <w:drawing>
          <wp:inline distT="0" distB="0" distL="0" distR="0" wp14:anchorId="0301038A" wp14:editId="58F166C6">
            <wp:extent cx="2934110" cy="190526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34110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B23" w:rsidRDefault="009A5B23" w:rsidP="009A5B23">
      <w:pPr>
        <w:pStyle w:val="Legenda"/>
        <w:jc w:val="center"/>
      </w:pPr>
      <w:r>
        <w:t xml:space="preserve">rys </w:t>
      </w:r>
      <w:r>
        <w:fldChar w:fldCharType="begin"/>
      </w:r>
      <w:r>
        <w:instrText xml:space="preserve"> SEQ rys \* ARABIC </w:instrText>
      </w:r>
      <w:r>
        <w:fldChar w:fldCharType="separate"/>
      </w:r>
      <w:r w:rsidR="00A634F8">
        <w:rPr>
          <w:noProof/>
        </w:rPr>
        <w:t>9</w:t>
      </w:r>
      <w:r>
        <w:fldChar w:fldCharType="end"/>
      </w:r>
      <w:r>
        <w:t xml:space="preserve"> Weryfikacja numeru PIN</w:t>
      </w:r>
    </w:p>
    <w:p w:rsidR="00722552" w:rsidRDefault="00722552" w:rsidP="00722552">
      <w:r>
        <w:t>Użytkownik wprowadza PIN, a następnie klika w przycisk „</w:t>
      </w:r>
      <w:proofErr w:type="spellStart"/>
      <w:r>
        <w:t>Verify</w:t>
      </w:r>
      <w:proofErr w:type="spellEnd"/>
      <w:r>
        <w:t xml:space="preserve">”. Następuje weryfikacja poprawności wprowadzonego </w:t>
      </w:r>
      <w:proofErr w:type="spellStart"/>
      <w:r>
        <w:t>PINu</w:t>
      </w:r>
      <w:proofErr w:type="spellEnd"/>
      <w:r>
        <w:t xml:space="preserve">. Jeśli jest niepoprawny, aplikacja wyświetli komunikat błędu oraz liczbę pozostałych prób wprowadzania </w:t>
      </w:r>
      <w:proofErr w:type="spellStart"/>
      <w:r>
        <w:t>PINu</w:t>
      </w:r>
      <w:proofErr w:type="spellEnd"/>
      <w:r>
        <w:t xml:space="preserve"> (max. 3). Jeżeli PIN jest prawidłowy, aplikacja wyświetli wszystkie klucze i certyfikaty istniejące na karcie. Aby podejrzeć szczegóły certyfikatu należy dwukrotnie kliknąć w jego nazwę, która pochodzi z pola „Nazwa powszechna” (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Name</w:t>
      </w:r>
      <w:proofErr w:type="spellEnd"/>
      <w:r>
        <w:t>) certyfikatu. Można to również zrobić zaznaczając certyfikat, a następnie wybierając z menu głównego „</w:t>
      </w:r>
      <w:proofErr w:type="spellStart"/>
      <w:r>
        <w:t>Certificate</w:t>
      </w:r>
      <w:proofErr w:type="spellEnd"/>
      <w:r>
        <w:t>” -&gt; „</w:t>
      </w:r>
      <w:proofErr w:type="spellStart"/>
      <w:r>
        <w:t>View</w:t>
      </w:r>
      <w:proofErr w:type="spellEnd"/>
      <w:r>
        <w:t>”.</w:t>
      </w:r>
    </w:p>
    <w:p w:rsidR="00722552" w:rsidRDefault="00722552" w:rsidP="00722552">
      <w:pPr>
        <w:keepNext/>
        <w:jc w:val="center"/>
      </w:pPr>
      <w:r w:rsidRPr="00722552">
        <w:lastRenderedPageBreak/>
        <w:drawing>
          <wp:inline distT="0" distB="0" distL="0" distR="0" wp14:anchorId="76D27C11" wp14:editId="03EE8B0B">
            <wp:extent cx="3924848" cy="2829320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52" w:rsidRDefault="00722552" w:rsidP="00722552">
      <w:pPr>
        <w:pStyle w:val="Legenda"/>
        <w:jc w:val="center"/>
      </w:pPr>
      <w:r>
        <w:t xml:space="preserve">rys </w:t>
      </w:r>
      <w:r>
        <w:fldChar w:fldCharType="begin"/>
      </w:r>
      <w:r>
        <w:instrText xml:space="preserve"> SEQ rys \* ARABIC </w:instrText>
      </w:r>
      <w:r>
        <w:fldChar w:fldCharType="separate"/>
      </w:r>
      <w:r w:rsidR="00A634F8">
        <w:rPr>
          <w:noProof/>
        </w:rPr>
        <w:t>10</w:t>
      </w:r>
      <w:r>
        <w:fldChar w:fldCharType="end"/>
      </w:r>
      <w:r>
        <w:t xml:space="preserve"> Okno z widokiem zawartości pendrive</w:t>
      </w:r>
    </w:p>
    <w:p w:rsidR="00722552" w:rsidRDefault="00722552" w:rsidP="00722552">
      <w:r>
        <w:t>Aplikacja umożliwia wyeksportowanie certyfikatu do pliku. Operację można wykonać na dwa sposoby: ▪ Klikamy w certyfikat prawym przyciskiem myszy i wybieramy „Export”; ▪ Zaznaczamy certyfikat, po czym z menu głównego wybieramy „</w:t>
      </w:r>
      <w:proofErr w:type="spellStart"/>
      <w:r>
        <w:t>Certificate</w:t>
      </w:r>
      <w:proofErr w:type="spellEnd"/>
      <w:r>
        <w:t>” -&gt; „Export”. W obu przypadkach aplikacja wyświetli następujące okienko:</w:t>
      </w:r>
    </w:p>
    <w:p w:rsidR="00722552" w:rsidRDefault="00722552" w:rsidP="00722552">
      <w:pPr>
        <w:keepNext/>
        <w:jc w:val="center"/>
      </w:pPr>
      <w:r w:rsidRPr="00722552">
        <w:drawing>
          <wp:inline distT="0" distB="0" distL="0" distR="0" wp14:anchorId="2084C143" wp14:editId="1FF6F771">
            <wp:extent cx="2676899" cy="1409897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52" w:rsidRDefault="00722552" w:rsidP="00722552">
      <w:pPr>
        <w:pStyle w:val="Legenda"/>
        <w:jc w:val="center"/>
      </w:pPr>
      <w:r>
        <w:t xml:space="preserve">rys </w:t>
      </w:r>
      <w:r>
        <w:fldChar w:fldCharType="begin"/>
      </w:r>
      <w:r>
        <w:instrText xml:space="preserve"> SEQ rys \* ARABIC </w:instrText>
      </w:r>
      <w:r>
        <w:fldChar w:fldCharType="separate"/>
      </w:r>
      <w:r w:rsidR="00A634F8">
        <w:rPr>
          <w:noProof/>
        </w:rPr>
        <w:t>11</w:t>
      </w:r>
      <w:r>
        <w:fldChar w:fldCharType="end"/>
      </w:r>
      <w:r>
        <w:t xml:space="preserve"> Export certyfikatu</w:t>
      </w:r>
    </w:p>
    <w:p w:rsidR="00722552" w:rsidRDefault="00722552" w:rsidP="00722552">
      <w:r>
        <w:t xml:space="preserve">Aby dokończyć operację, należy wybrać opcję „To </w:t>
      </w:r>
      <w:proofErr w:type="spellStart"/>
      <w:r>
        <w:t>Store</w:t>
      </w:r>
      <w:proofErr w:type="spellEnd"/>
      <w:r>
        <w:t>” oraz kliknąć przycisk „Export”</w:t>
      </w:r>
    </w:p>
    <w:p w:rsidR="00722552" w:rsidRDefault="00722552" w:rsidP="00722552">
      <w:pPr>
        <w:rPr>
          <w:b/>
        </w:rPr>
      </w:pPr>
      <w:r w:rsidRPr="00722552">
        <w:rPr>
          <w:b/>
        </w:rPr>
        <w:t xml:space="preserve">UWAGA: Należy zalogować się do bankowości elektronicznej na stronie </w:t>
      </w:r>
      <w:hyperlink r:id="rId23" w:history="1">
        <w:r w:rsidRPr="00722552">
          <w:rPr>
            <w:rStyle w:val="Hipercze"/>
            <w:b/>
          </w:rPr>
          <w:t>https://online.bsbd.pl/</w:t>
        </w:r>
      </w:hyperlink>
      <w:r w:rsidRPr="00722552">
        <w:rPr>
          <w:b/>
        </w:rPr>
        <w:t xml:space="preserve"> przed wybraniem przycisku „Export”.</w:t>
      </w:r>
    </w:p>
    <w:p w:rsidR="00722552" w:rsidRDefault="00722552" w:rsidP="00722552">
      <w:r>
        <w:t>Operacja zostanie potwierdzona stosownym komunikatem.</w:t>
      </w:r>
    </w:p>
    <w:p w:rsidR="00722552" w:rsidRDefault="002E2D0C" w:rsidP="002E2D0C">
      <w:pPr>
        <w:pStyle w:val="Nagwek2"/>
        <w:numPr>
          <w:ilvl w:val="0"/>
          <w:numId w:val="1"/>
        </w:numPr>
      </w:pPr>
      <w:bookmarkStart w:id="5" w:name="_Toc109033867"/>
      <w:r>
        <w:t>Dodanie urządzenia w serwisie IBF</w:t>
      </w:r>
      <w:bookmarkEnd w:id="5"/>
    </w:p>
    <w:p w:rsidR="002E2D0C" w:rsidRDefault="002E2D0C" w:rsidP="002E2D0C"/>
    <w:p w:rsidR="002E2D0C" w:rsidRDefault="002E2D0C" w:rsidP="002E2D0C">
      <w:pPr>
        <w:ind w:left="360"/>
      </w:pPr>
      <w:r>
        <w:t>Dodanie urządzenia/aplikacji w serwisie IBF:</w:t>
      </w:r>
    </w:p>
    <w:p w:rsidR="002E2D0C" w:rsidRDefault="00A634F8" w:rsidP="00A634F8">
      <w:pPr>
        <w:pStyle w:val="Akapitzlist"/>
        <w:numPr>
          <w:ilvl w:val="0"/>
          <w:numId w:val="8"/>
        </w:numPr>
      </w:pPr>
      <w:r>
        <w:t>Wybierz zakładkę Ustawienia -&gt; Kanały dostępu i urządzenia</w:t>
      </w:r>
    </w:p>
    <w:p w:rsidR="00A634F8" w:rsidRDefault="00A634F8" w:rsidP="00A634F8">
      <w:pPr>
        <w:pStyle w:val="Akapitzlist"/>
        <w:numPr>
          <w:ilvl w:val="0"/>
          <w:numId w:val="8"/>
        </w:numPr>
      </w:pPr>
      <w:r>
        <w:t>Kliknij w przycisk Dodaj urządzenie;</w:t>
      </w:r>
    </w:p>
    <w:p w:rsidR="00A634F8" w:rsidRDefault="00A634F8" w:rsidP="00A634F8">
      <w:pPr>
        <w:pStyle w:val="Akapitzlist"/>
        <w:numPr>
          <w:ilvl w:val="0"/>
          <w:numId w:val="8"/>
        </w:numPr>
      </w:pPr>
      <w:r>
        <w:t>Wpisz nazwę urządzenia i potwierdź przyciskiem Dalej;</w:t>
      </w:r>
    </w:p>
    <w:p w:rsidR="00A634F8" w:rsidRDefault="00A634F8" w:rsidP="00A634F8">
      <w:pPr>
        <w:pStyle w:val="Akapitzlist"/>
        <w:numPr>
          <w:ilvl w:val="0"/>
          <w:numId w:val="8"/>
        </w:numPr>
      </w:pPr>
      <w:r>
        <w:t>Wygenerowanym kodem uruchom profil w aplikacji (czas ważności podany pod kodem);</w:t>
      </w:r>
    </w:p>
    <w:p w:rsidR="00A634F8" w:rsidRDefault="00A634F8" w:rsidP="00A634F8">
      <w:pPr>
        <w:pStyle w:val="Akapitzlist"/>
        <w:keepNext/>
        <w:ind w:left="1425"/>
      </w:pPr>
      <w:r w:rsidRPr="00A634F8">
        <w:lastRenderedPageBreak/>
        <w:drawing>
          <wp:inline distT="0" distB="0" distL="0" distR="0" wp14:anchorId="53CEC34B" wp14:editId="3E26F727">
            <wp:extent cx="5134692" cy="5134692"/>
            <wp:effectExtent l="0" t="0" r="8890" b="889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513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4F8" w:rsidRDefault="00A634F8" w:rsidP="00A634F8">
      <w:pPr>
        <w:pStyle w:val="Legenda"/>
        <w:jc w:val="center"/>
      </w:pPr>
      <w:r>
        <w:t xml:space="preserve">rys </w:t>
      </w:r>
      <w:r>
        <w:fldChar w:fldCharType="begin"/>
      </w:r>
      <w:r>
        <w:instrText xml:space="preserve"> SEQ rys \* ARABIC </w:instrText>
      </w:r>
      <w:r>
        <w:fldChar w:fldCharType="separate"/>
      </w:r>
      <w:r>
        <w:rPr>
          <w:noProof/>
        </w:rPr>
        <w:t>12</w:t>
      </w:r>
      <w:r>
        <w:fldChar w:fldCharType="end"/>
      </w:r>
      <w:r>
        <w:t xml:space="preserve"> Dodanie profilu </w:t>
      </w:r>
      <w:proofErr w:type="spellStart"/>
      <w:r>
        <w:t>nPodpis</w:t>
      </w:r>
      <w:proofErr w:type="spellEnd"/>
      <w:r>
        <w:t xml:space="preserve"> w IBF</w:t>
      </w:r>
    </w:p>
    <w:p w:rsidR="00A634F8" w:rsidRDefault="00A634F8" w:rsidP="00A634F8">
      <w:pPr>
        <w:pStyle w:val="Nagwek2"/>
        <w:numPr>
          <w:ilvl w:val="0"/>
          <w:numId w:val="1"/>
        </w:numPr>
      </w:pPr>
      <w:bookmarkStart w:id="6" w:name="_Toc109033868"/>
      <w:r>
        <w:t>Uruchomienie aplikacji</w:t>
      </w:r>
      <w:bookmarkEnd w:id="6"/>
      <w:r>
        <w:t xml:space="preserve"> </w:t>
      </w:r>
    </w:p>
    <w:p w:rsidR="00A634F8" w:rsidRDefault="00A634F8" w:rsidP="00A634F8"/>
    <w:p w:rsidR="00A634F8" w:rsidRDefault="00A634F8" w:rsidP="00A634F8">
      <w:pPr>
        <w:ind w:firstLine="360"/>
      </w:pPr>
      <w:r>
        <w:t>Uruchamianie instalatora: ‒ kliknij w ikonkę pliku: Setup.exe;</w:t>
      </w:r>
    </w:p>
    <w:p w:rsidR="00A634F8" w:rsidRDefault="00A634F8" w:rsidP="00A634F8">
      <w:pPr>
        <w:ind w:firstLine="360"/>
      </w:pPr>
      <w:r>
        <w:t>Kliknij przycisk Zainstaluj i podążaj za schematem instalowania</w:t>
      </w:r>
    </w:p>
    <w:p w:rsidR="00A634F8" w:rsidRDefault="00A634F8" w:rsidP="00A634F8">
      <w:pPr>
        <w:keepNext/>
        <w:ind w:left="360"/>
        <w:jc w:val="center"/>
      </w:pPr>
      <w:r w:rsidRPr="00A634F8">
        <w:drawing>
          <wp:inline distT="0" distB="0" distL="0" distR="0" wp14:anchorId="5370ED00" wp14:editId="2E40FBC2">
            <wp:extent cx="1552792" cy="704948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4F8" w:rsidRDefault="00A634F8" w:rsidP="00A634F8">
      <w:pPr>
        <w:pStyle w:val="Legenda"/>
        <w:jc w:val="center"/>
      </w:pPr>
      <w:r>
        <w:t xml:space="preserve">rys </w:t>
      </w:r>
      <w:r>
        <w:fldChar w:fldCharType="begin"/>
      </w:r>
      <w:r>
        <w:instrText xml:space="preserve"> SEQ rys \* ARABIC </w:instrText>
      </w:r>
      <w:r>
        <w:fldChar w:fldCharType="separate"/>
      </w:r>
      <w:r>
        <w:rPr>
          <w:noProof/>
        </w:rPr>
        <w:t>13</w:t>
      </w:r>
      <w:r>
        <w:fldChar w:fldCharType="end"/>
      </w:r>
      <w:r>
        <w:t xml:space="preserve"> Katalog </w:t>
      </w:r>
      <w:proofErr w:type="spellStart"/>
      <w:r>
        <w:t>nPodpis</w:t>
      </w:r>
      <w:proofErr w:type="spellEnd"/>
    </w:p>
    <w:p w:rsidR="00A634F8" w:rsidRDefault="00A634F8" w:rsidP="00A634F8"/>
    <w:p w:rsidR="00A634F8" w:rsidRDefault="00A634F8" w:rsidP="00A634F8"/>
    <w:p w:rsidR="00A634F8" w:rsidRPr="00A634F8" w:rsidRDefault="00A634F8" w:rsidP="00A634F8"/>
    <w:p w:rsidR="00A634F8" w:rsidRDefault="00A634F8" w:rsidP="00A634F8">
      <w:pPr>
        <w:pStyle w:val="Nagwek2"/>
        <w:numPr>
          <w:ilvl w:val="1"/>
          <w:numId w:val="1"/>
        </w:numPr>
      </w:pPr>
      <w:bookmarkStart w:id="7" w:name="_Toc109033869"/>
      <w:r>
        <w:lastRenderedPageBreak/>
        <w:t>Definiowanie profilu</w:t>
      </w:r>
      <w:bookmarkEnd w:id="7"/>
    </w:p>
    <w:p w:rsidR="00A634F8" w:rsidRDefault="00A634F8" w:rsidP="00A634F8">
      <w:pPr>
        <w:ind w:left="360"/>
      </w:pPr>
    </w:p>
    <w:p w:rsidR="00A634F8" w:rsidRDefault="00A634F8" w:rsidP="00A634F8">
      <w:pPr>
        <w:keepNext/>
        <w:ind w:left="360"/>
        <w:jc w:val="center"/>
      </w:pPr>
      <w:r w:rsidRPr="00A634F8">
        <w:drawing>
          <wp:inline distT="0" distB="0" distL="0" distR="0" wp14:anchorId="6435E492" wp14:editId="028E94CD">
            <wp:extent cx="2867425" cy="2162477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4F8" w:rsidRDefault="00A634F8" w:rsidP="00A634F8">
      <w:pPr>
        <w:pStyle w:val="Legenda"/>
        <w:jc w:val="center"/>
      </w:pPr>
      <w:r>
        <w:t xml:space="preserve">rys </w:t>
      </w:r>
      <w:r>
        <w:fldChar w:fldCharType="begin"/>
      </w:r>
      <w:r>
        <w:instrText xml:space="preserve"> SEQ rys \* ARABIC </w:instrText>
      </w:r>
      <w:r>
        <w:fldChar w:fldCharType="separate"/>
      </w:r>
      <w:r>
        <w:rPr>
          <w:noProof/>
        </w:rPr>
        <w:t>14</w:t>
      </w:r>
      <w:r>
        <w:fldChar w:fldCharType="end"/>
      </w:r>
      <w:r>
        <w:t xml:space="preserve"> Pierwsze okno </w:t>
      </w:r>
      <w:proofErr w:type="spellStart"/>
      <w:r>
        <w:t>nPodpis</w:t>
      </w:r>
      <w:proofErr w:type="spellEnd"/>
    </w:p>
    <w:p w:rsidR="00A634F8" w:rsidRDefault="00A634F8" w:rsidP="00A634F8">
      <w:r>
        <w:t>‒ kliknij przycisk Załóż nowy profil;</w:t>
      </w:r>
    </w:p>
    <w:p w:rsidR="00A634F8" w:rsidRDefault="00A634F8" w:rsidP="00A634F8">
      <w:r>
        <w:t xml:space="preserve">‒ wpisz kod wygenerowany podczas dodawania urządzenia w serwisie IBF; </w:t>
      </w:r>
    </w:p>
    <w:p w:rsidR="00A634F8" w:rsidRDefault="00A634F8" w:rsidP="00A634F8">
      <w:r>
        <w:t>‒ wprowadź dwukrotnie hasło (hasło ustalasz sam, minimum cztery znaki).</w:t>
      </w:r>
    </w:p>
    <w:p w:rsidR="00A634F8" w:rsidRDefault="00A634F8" w:rsidP="00A634F8">
      <w:pPr>
        <w:keepNext/>
        <w:jc w:val="center"/>
      </w:pPr>
      <w:r w:rsidRPr="00A634F8">
        <w:drawing>
          <wp:inline distT="0" distB="0" distL="0" distR="0" wp14:anchorId="571B9D9C" wp14:editId="597A4682">
            <wp:extent cx="2791215" cy="2067214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206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4F8" w:rsidRDefault="00A634F8" w:rsidP="00A634F8">
      <w:pPr>
        <w:pStyle w:val="Legenda"/>
        <w:jc w:val="center"/>
      </w:pPr>
      <w:r>
        <w:t xml:space="preserve">rys </w:t>
      </w:r>
      <w:r>
        <w:fldChar w:fldCharType="begin"/>
      </w:r>
      <w:r>
        <w:instrText xml:space="preserve"> SEQ rys \* ARABIC </w:instrText>
      </w:r>
      <w:r>
        <w:fldChar w:fldCharType="separate"/>
      </w:r>
      <w:r>
        <w:rPr>
          <w:noProof/>
        </w:rPr>
        <w:t>15</w:t>
      </w:r>
      <w:r>
        <w:fldChar w:fldCharType="end"/>
      </w:r>
      <w:r>
        <w:t xml:space="preserve"> Okno dodawania profilu </w:t>
      </w:r>
      <w:proofErr w:type="spellStart"/>
      <w:r>
        <w:t>nPodpis</w:t>
      </w:r>
      <w:proofErr w:type="spellEnd"/>
    </w:p>
    <w:p w:rsidR="00A634F8" w:rsidRDefault="00A634F8" w:rsidP="00A634F8">
      <w:r>
        <w:t xml:space="preserve">Po poprawnym zdefiniowaniu profilu zostanie wyświetlone okno do logowania. Aplikacja jest gotowa do użycia. Aby podpisać operacje w serwisie IBF zaloguj się hasłem ustalonym podczas zakładania profilu. Ważne: Po </w:t>
      </w:r>
      <w:proofErr w:type="spellStart"/>
      <w:r>
        <w:t>trzykrotym</w:t>
      </w:r>
      <w:proofErr w:type="spellEnd"/>
      <w:r>
        <w:t xml:space="preserve"> błędnie wpisanym haśle usługa </w:t>
      </w:r>
      <w:proofErr w:type="spellStart"/>
      <w:r>
        <w:t>nPodpis</w:t>
      </w:r>
      <w:proofErr w:type="spellEnd"/>
      <w:r>
        <w:t xml:space="preserve"> zostanie zablokowana na ok. 15 minut, wygenerowany zostanie komunikat: usługa czasowo zablokowana, spróbuj później. Po upływie wskazanego czasu należy podjąć kolejną próbę logowania.</w:t>
      </w:r>
    </w:p>
    <w:p w:rsidR="00A634F8" w:rsidRDefault="00A634F8" w:rsidP="00A634F8">
      <w:pPr>
        <w:keepNext/>
        <w:jc w:val="center"/>
      </w:pPr>
      <w:r w:rsidRPr="00A634F8">
        <w:lastRenderedPageBreak/>
        <w:drawing>
          <wp:inline distT="0" distB="0" distL="0" distR="0" wp14:anchorId="7B7DB4D3" wp14:editId="208F0016">
            <wp:extent cx="3686690" cy="2800741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86690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4F8" w:rsidRDefault="00A634F8" w:rsidP="00A634F8">
      <w:pPr>
        <w:pStyle w:val="Legenda"/>
        <w:jc w:val="center"/>
      </w:pPr>
      <w:r>
        <w:t xml:space="preserve">rys </w:t>
      </w:r>
      <w:r>
        <w:fldChar w:fldCharType="begin"/>
      </w:r>
      <w:r>
        <w:instrText xml:space="preserve"> SEQ rys \* ARABIC </w:instrText>
      </w:r>
      <w:r>
        <w:fldChar w:fldCharType="separate"/>
      </w:r>
      <w:r>
        <w:rPr>
          <w:noProof/>
        </w:rPr>
        <w:t>16</w:t>
      </w:r>
      <w:r>
        <w:fldChar w:fldCharType="end"/>
      </w:r>
      <w:r>
        <w:t xml:space="preserve"> Okno logowania </w:t>
      </w:r>
      <w:proofErr w:type="spellStart"/>
      <w:r>
        <w:t>nPodpis</w:t>
      </w:r>
      <w:proofErr w:type="spellEnd"/>
    </w:p>
    <w:p w:rsidR="00A634F8" w:rsidRDefault="00A634F8" w:rsidP="00A634F8"/>
    <w:sdt>
      <w:sdtPr>
        <w:id w:val="-239174260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color w:val="000000"/>
          <w:sz w:val="22"/>
          <w:szCs w:val="22"/>
        </w:rPr>
      </w:sdtEndPr>
      <w:sdtContent>
        <w:p w:rsidR="00A634F8" w:rsidRDefault="00A634F8">
          <w:pPr>
            <w:pStyle w:val="Nagwekspisutreci"/>
          </w:pPr>
          <w:r>
            <w:t>Spis treści</w:t>
          </w:r>
        </w:p>
        <w:p w:rsidR="00A634F8" w:rsidRDefault="00A634F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033862" w:history="1">
            <w:r w:rsidRPr="00030FCA">
              <w:rPr>
                <w:rStyle w:val="Hipercze"/>
                <w:noProof/>
              </w:rPr>
              <w:t>1.</w:t>
            </w:r>
            <w:r>
              <w:rPr>
                <w:noProof/>
              </w:rPr>
              <w:tab/>
            </w:r>
            <w:r w:rsidRPr="00030FCA">
              <w:rPr>
                <w:rStyle w:val="Hipercze"/>
                <w:noProof/>
              </w:rPr>
              <w:t>Lokalizacja plików instalacyjnych aplikacji.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_Toc109033862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4F8" w:rsidRDefault="00A634F8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9033863" w:history="1">
            <w:r w:rsidRPr="00030FCA">
              <w:rPr>
                <w:rStyle w:val="Hipercze"/>
                <w:noProof/>
              </w:rPr>
              <w:t>1.1.</w:t>
            </w:r>
            <w:r>
              <w:rPr>
                <w:noProof/>
              </w:rPr>
              <w:tab/>
            </w:r>
            <w:r w:rsidRPr="00030FCA">
              <w:rPr>
                <w:rStyle w:val="Hipercze"/>
                <w:noProof/>
              </w:rPr>
              <w:t>Strona logowania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_Toc109033863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4F8" w:rsidRDefault="00A634F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109033864" w:history="1">
            <w:r w:rsidRPr="00030FCA">
              <w:rPr>
                <w:rStyle w:val="Hipercze"/>
                <w:noProof/>
              </w:rPr>
              <w:t>2.</w:t>
            </w:r>
            <w:r>
              <w:rPr>
                <w:noProof/>
              </w:rPr>
              <w:tab/>
            </w:r>
            <w:r w:rsidRPr="00030FCA">
              <w:rPr>
                <w:rStyle w:val="Hipercze"/>
                <w:noProof/>
              </w:rPr>
              <w:t>ID Protect – Instalacja oprogramowania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_Toc109033864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4F8" w:rsidRDefault="00A634F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109033865" w:history="1">
            <w:r w:rsidRPr="00030FCA">
              <w:rPr>
                <w:rStyle w:val="Hipercze"/>
                <w:noProof/>
              </w:rPr>
              <w:t>3.</w:t>
            </w:r>
            <w:r>
              <w:rPr>
                <w:noProof/>
              </w:rPr>
              <w:tab/>
            </w:r>
            <w:r w:rsidRPr="00030FCA">
              <w:rPr>
                <w:rStyle w:val="Hipercze"/>
                <w:noProof/>
              </w:rPr>
              <w:t>Korzystanie z oprogramowania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_Toc109033865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4F8" w:rsidRDefault="00A634F8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9033866" w:history="1">
            <w:r w:rsidRPr="00030FCA">
              <w:rPr>
                <w:rStyle w:val="Hipercze"/>
                <w:noProof/>
              </w:rPr>
              <w:t>3.1.</w:t>
            </w:r>
            <w:r>
              <w:rPr>
                <w:noProof/>
              </w:rPr>
              <w:tab/>
            </w:r>
            <w:r w:rsidRPr="00030FCA">
              <w:rPr>
                <w:rStyle w:val="Hipercze"/>
                <w:noProof/>
              </w:rPr>
              <w:t>IDProtect Manager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_Toc109033866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4F8" w:rsidRDefault="00A634F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109033867" w:history="1">
            <w:r w:rsidRPr="00030FCA">
              <w:rPr>
                <w:rStyle w:val="Hipercze"/>
                <w:noProof/>
              </w:rPr>
              <w:t>4.</w:t>
            </w:r>
            <w:r>
              <w:rPr>
                <w:noProof/>
              </w:rPr>
              <w:tab/>
            </w:r>
            <w:r w:rsidRPr="00030FCA">
              <w:rPr>
                <w:rStyle w:val="Hipercze"/>
                <w:noProof/>
              </w:rPr>
              <w:t>Dodanie urządzenia w serwisie IBF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_Toc109033867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4F8" w:rsidRDefault="00A634F8">
          <w:pPr>
            <w:pStyle w:val="Spistreci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109033868" w:history="1">
            <w:r w:rsidRPr="00030FCA">
              <w:rPr>
                <w:rStyle w:val="Hipercze"/>
                <w:noProof/>
              </w:rPr>
              <w:t>5.</w:t>
            </w:r>
            <w:r>
              <w:rPr>
                <w:noProof/>
              </w:rPr>
              <w:tab/>
            </w:r>
            <w:r w:rsidRPr="00030FCA">
              <w:rPr>
                <w:rStyle w:val="Hipercze"/>
                <w:noProof/>
              </w:rPr>
              <w:t>Uruchomienie aplikacji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_Toc109033868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4F8" w:rsidRDefault="00A634F8">
          <w:pPr>
            <w:pStyle w:val="Spistreci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09033869" w:history="1">
            <w:r w:rsidRPr="00030FCA">
              <w:rPr>
                <w:rStyle w:val="Hipercze"/>
                <w:noProof/>
              </w:rPr>
              <w:t>5.1.</w:t>
            </w:r>
            <w:r>
              <w:rPr>
                <w:noProof/>
              </w:rPr>
              <w:tab/>
            </w:r>
            <w:r w:rsidRPr="00030FCA">
              <w:rPr>
                <w:rStyle w:val="Hipercze"/>
                <w:noProof/>
              </w:rPr>
              <w:t>Definiowanie profilu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_Toc109033869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4F8" w:rsidRDefault="00A634F8">
          <w:r>
            <w:rPr>
              <w:b/>
              <w:bCs/>
            </w:rPr>
            <w:fldChar w:fldCharType="end"/>
          </w:r>
        </w:p>
      </w:sdtContent>
    </w:sdt>
    <w:p w:rsidR="00A634F8" w:rsidRPr="00A634F8" w:rsidRDefault="00A634F8" w:rsidP="00A634F8">
      <w:bookmarkStart w:id="8" w:name="_GoBack"/>
      <w:bookmarkEnd w:id="8"/>
    </w:p>
    <w:p w:rsidR="00A634F8" w:rsidRPr="00A634F8" w:rsidRDefault="00A634F8" w:rsidP="00A634F8">
      <w:r>
        <w:tab/>
      </w:r>
    </w:p>
    <w:p w:rsidR="00A634F8" w:rsidRPr="00A634F8" w:rsidRDefault="00A634F8" w:rsidP="00A634F8"/>
    <w:sectPr w:rsidR="00A634F8" w:rsidRPr="00A6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150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C970921"/>
    <w:multiLevelType w:val="hybridMultilevel"/>
    <w:tmpl w:val="D70A30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1D308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2A9602E9"/>
    <w:multiLevelType w:val="hybridMultilevel"/>
    <w:tmpl w:val="C91E3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70FD2"/>
    <w:multiLevelType w:val="hybridMultilevel"/>
    <w:tmpl w:val="1C24E1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516406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3E6B4B4A"/>
    <w:multiLevelType w:val="hybridMultilevel"/>
    <w:tmpl w:val="525626E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6575D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3"/>
    <w:rsid w:val="002E2D0C"/>
    <w:rsid w:val="00722552"/>
    <w:rsid w:val="00790253"/>
    <w:rsid w:val="0080120D"/>
    <w:rsid w:val="009A5B23"/>
    <w:rsid w:val="009B4EBB"/>
    <w:rsid w:val="00A634F8"/>
    <w:rsid w:val="00EF7922"/>
    <w:rsid w:val="00F6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30"/>
    <w:pPr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3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7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7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030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7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F67030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F6703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6703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F67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34F8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634F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30"/>
    <w:pPr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3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7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7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030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7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F67030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F6703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6703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F67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34F8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634F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bd.pl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sbd.pl/" TargetMode="Externa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s://online.bsbd.pl/" TargetMode="External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online.bsbd.pl/StartPage.aspx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3E4-9311-4B42-ADAE-1E8C892B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FB7CECF3</Template>
  <TotalTime>224</TotalTime>
  <Pages>10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Napiórkowski</dc:creator>
  <cp:lastModifiedBy>Damian Napiórkowski</cp:lastModifiedBy>
  <cp:revision>3</cp:revision>
  <dcterms:created xsi:type="dcterms:W3CDTF">2022-07-15T11:47:00Z</dcterms:created>
  <dcterms:modified xsi:type="dcterms:W3CDTF">2022-07-18T08:50:00Z</dcterms:modified>
</cp:coreProperties>
</file>