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7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3D7DC2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06B4B6B3" w:rsidR="00D23EF4" w:rsidRPr="00A44574" w:rsidRDefault="00D23EF4" w:rsidP="003D7DC2">
            <w:pPr>
              <w:jc w:val="center"/>
              <w:rPr>
                <w:b/>
                <w:sz w:val="24"/>
                <w:szCs w:val="24"/>
              </w:rPr>
            </w:pPr>
            <w:r w:rsidRPr="00A44574">
              <w:rPr>
                <w:b/>
                <w:sz w:val="24"/>
                <w:szCs w:val="24"/>
              </w:rPr>
              <w:t xml:space="preserve">FORMULARZ </w:t>
            </w:r>
            <w:r w:rsidR="007B6B27">
              <w:rPr>
                <w:b/>
                <w:sz w:val="24"/>
                <w:szCs w:val="24"/>
              </w:rPr>
              <w:t xml:space="preserve">PIERWOTNEJ </w:t>
            </w:r>
            <w:r w:rsidRPr="00A44574">
              <w:rPr>
                <w:b/>
                <w:sz w:val="24"/>
                <w:szCs w:val="24"/>
              </w:rPr>
              <w:t>OCENY ODPOWIEDNIOŚCI</w:t>
            </w:r>
          </w:p>
          <w:p w14:paraId="5C87881C" w14:textId="77777777" w:rsidR="003D7DC2" w:rsidRDefault="00A83DBE" w:rsidP="003D7D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</w:t>
            </w:r>
            <w:r w:rsidR="00D23EF4" w:rsidRPr="00A44574">
              <w:rPr>
                <w:b/>
                <w:sz w:val="24"/>
                <w:szCs w:val="24"/>
              </w:rPr>
              <w:t>andydatów</w:t>
            </w:r>
            <w:proofErr w:type="gramEnd"/>
            <w:r w:rsidR="00513EC0">
              <w:rPr>
                <w:b/>
                <w:sz w:val="24"/>
                <w:szCs w:val="24"/>
              </w:rPr>
              <w:t xml:space="preserve"> na</w:t>
            </w:r>
            <w:r w:rsidR="00D23EF4" w:rsidRPr="00A44574">
              <w:rPr>
                <w:b/>
                <w:sz w:val="24"/>
                <w:szCs w:val="24"/>
              </w:rPr>
              <w:t xml:space="preserve"> </w:t>
            </w:r>
            <w:r w:rsidR="009B5702">
              <w:rPr>
                <w:b/>
                <w:sz w:val="24"/>
                <w:szCs w:val="24"/>
              </w:rPr>
              <w:t>C</w:t>
            </w:r>
            <w:r w:rsidR="00D23EF4" w:rsidRPr="00A44574">
              <w:rPr>
                <w:b/>
                <w:sz w:val="24"/>
                <w:szCs w:val="24"/>
              </w:rPr>
              <w:t xml:space="preserve">złonków </w:t>
            </w:r>
            <w:r w:rsidR="005C0F76">
              <w:rPr>
                <w:b/>
                <w:sz w:val="24"/>
                <w:szCs w:val="24"/>
              </w:rPr>
              <w:t>Rady Nadzorczej</w:t>
            </w:r>
            <w:r w:rsidR="000B1CDE">
              <w:rPr>
                <w:b/>
                <w:sz w:val="24"/>
                <w:szCs w:val="24"/>
              </w:rPr>
              <w:t xml:space="preserve"> </w:t>
            </w:r>
          </w:p>
          <w:p w14:paraId="0F2CCEF7" w14:textId="567D9474" w:rsidR="00D23EF4" w:rsidRPr="00A44574" w:rsidRDefault="000B1CDE" w:rsidP="003D7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Banku Spółdzielczego </w:t>
            </w:r>
            <w:r w:rsidR="00C42E46">
              <w:rPr>
                <w:b/>
                <w:sz w:val="24"/>
                <w:szCs w:val="24"/>
              </w:rPr>
              <w:t xml:space="preserve">im. Stefczyka w Belsku Dużym </w:t>
            </w:r>
          </w:p>
        </w:tc>
      </w:tr>
    </w:tbl>
    <w:p w14:paraId="17A90CC9" w14:textId="4B5C26A1" w:rsidR="003D7DC2" w:rsidRDefault="003D7DC2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942BD64" wp14:editId="63FFFF70">
            <wp:simplePos x="0" y="0"/>
            <wp:positionH relativeFrom="column">
              <wp:posOffset>-457200</wp:posOffset>
            </wp:positionH>
            <wp:positionV relativeFrom="paragraph">
              <wp:posOffset>-372110</wp:posOffset>
            </wp:positionV>
            <wp:extent cx="2520000" cy="665812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FF0B81" w14:textId="5DD1AC85" w:rsidR="00403CF9" w:rsidRDefault="00C42E46"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2E43F9E" wp14:editId="1B92E1F0">
            <wp:simplePos x="0" y="0"/>
            <wp:positionH relativeFrom="column">
              <wp:posOffset>-552450</wp:posOffset>
            </wp:positionH>
            <wp:positionV relativeFrom="paragraph">
              <wp:posOffset>-1242060</wp:posOffset>
            </wp:positionV>
            <wp:extent cx="2520000" cy="66581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sbd_kolor_beztl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665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752" w:type="dxa"/>
        <w:tblLook w:val="04A0" w:firstRow="1" w:lastRow="0" w:firstColumn="1" w:lastColumn="0" w:noHBand="0" w:noVBand="1"/>
      </w:tblPr>
      <w:tblGrid>
        <w:gridCol w:w="9752"/>
      </w:tblGrid>
      <w:tr w:rsidR="0028077E" w:rsidRPr="0028077E" w14:paraId="69FE1EE0" w14:textId="77777777" w:rsidTr="006414A2">
        <w:tc>
          <w:tcPr>
            <w:tcW w:w="9752" w:type="dxa"/>
            <w:shd w:val="clear" w:color="auto" w:fill="E7E6E6" w:themeFill="background2"/>
          </w:tcPr>
          <w:p w14:paraId="47141F35" w14:textId="3463FD6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1 – wypełnia kandydat</w:t>
            </w:r>
          </w:p>
        </w:tc>
      </w:tr>
      <w:tr w:rsidR="0028077E" w14:paraId="1839FD3B" w14:textId="77777777" w:rsidTr="006414A2">
        <w:tc>
          <w:tcPr>
            <w:tcW w:w="975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C42E46">
              <w:trPr>
                <w:trHeight w:val="400"/>
              </w:trPr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429838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2EE5832" w14:textId="112499B6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36E8267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6A0B21CA" w14:textId="07A6C20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29DE0B83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1C740505" w14:textId="1132BAC1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Płeć: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08A45E2F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9F151DB" w14:textId="618D66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24B65E3B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803DDC4" w14:textId="24BDE99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41A0D7F1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0827F88" w14:textId="0349CF42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5416CC8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D2778F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Obywatelstwo: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C99B146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1E59C759" w14:textId="5288FE8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F7E0529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B657E38" w14:textId="4617910E" w:rsidR="0028077E" w:rsidRPr="00A44574" w:rsidRDefault="0028077E" w:rsidP="006C6C40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Numer PESEL: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616AE54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2FA81D6F" w14:textId="5F32ACA9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48A777B" w14:textId="77777777" w:rsidTr="0028077E">
              <w:tc>
                <w:tcPr>
                  <w:tcW w:w="9526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098EDEF" w14:textId="3742BB3F" w:rsidR="0028077E" w:rsidRDefault="003D7DC2" w:rsidP="0028077E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577994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BA72F1">
                    <w:rPr>
                      <w:sz w:val="24"/>
                      <w:szCs w:val="24"/>
                    </w:rPr>
                    <w:t>.</w:t>
                  </w:r>
                </w:p>
                <w:p w14:paraId="37F5119A" w14:textId="7C78BEAC" w:rsidR="007238BC" w:rsidRPr="007238BC" w:rsidRDefault="003D7DC2" w:rsidP="007238BC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4480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rFonts w:cstheme="minorHAnsi"/>
                      <w:sz w:val="24"/>
                      <w:szCs w:val="24"/>
                    </w:rPr>
                    <w:t>Wyrażam zgodę na</w:t>
                  </w:r>
                  <w:r w:rsidR="005838CE">
                    <w:rPr>
                      <w:rFonts w:cstheme="minorHAnsi"/>
                      <w:sz w:val="24"/>
                      <w:szCs w:val="24"/>
                    </w:rPr>
                    <w:t xml:space="preserve"> objęcie funkcji Członka Rady Nadzorczej.</w:t>
                  </w:r>
                </w:p>
                <w:p w14:paraId="614A256B" w14:textId="75597C75" w:rsidR="0028077E" w:rsidRPr="00BB24C5" w:rsidRDefault="0028077E" w:rsidP="0028077E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6AF405CC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BA72F1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4308D98C" w14:textId="77777777" w:rsidR="0028077E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F24D1C7" w14:textId="77777777" w:rsidR="007238BC" w:rsidRDefault="007238BC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458EB78F" w:rsidR="007238BC" w:rsidRPr="00A44574" w:rsidRDefault="007238BC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CF598D5" w14:textId="77777777" w:rsidR="0028077E" w:rsidRDefault="0028077E"/>
    <w:p w14:paraId="5AE411CC" w14:textId="77777777" w:rsidR="00F15CBD" w:rsidRDefault="00F15CBD">
      <w:r>
        <w:br w:type="page"/>
      </w:r>
    </w:p>
    <w:tbl>
      <w:tblPr>
        <w:tblStyle w:val="Tabela-Siatk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28077E" w14:paraId="14D9C77F" w14:textId="77777777" w:rsidTr="003D7DC2">
        <w:tc>
          <w:tcPr>
            <w:tcW w:w="10491" w:type="dxa"/>
            <w:shd w:val="clear" w:color="auto" w:fill="E7E6E6" w:themeFill="background2"/>
          </w:tcPr>
          <w:p w14:paraId="5FF6A9B7" w14:textId="613FF7C2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2 –</w:t>
            </w:r>
            <w:r w:rsidR="00144E4C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 xml:space="preserve">wypełnia </w:t>
            </w:r>
            <w:r w:rsidR="007238BC">
              <w:rPr>
                <w:b/>
                <w:sz w:val="24"/>
                <w:szCs w:val="24"/>
              </w:rPr>
              <w:t>organ</w:t>
            </w:r>
            <w:r w:rsidRPr="0028077E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28077E" w14:paraId="4BD12125" w14:textId="77777777" w:rsidTr="003D7DC2">
        <w:trPr>
          <w:trHeight w:val="3392"/>
        </w:trPr>
        <w:tc>
          <w:tcPr>
            <w:tcW w:w="1049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0094" w:type="dxa"/>
              <w:tblLook w:val="04A0" w:firstRow="1" w:lastRow="0" w:firstColumn="1" w:lastColumn="0" w:noHBand="0" w:noVBand="1"/>
            </w:tblPr>
            <w:tblGrid>
              <w:gridCol w:w="3574"/>
              <w:gridCol w:w="1409"/>
              <w:gridCol w:w="2039"/>
              <w:gridCol w:w="3072"/>
            </w:tblGrid>
            <w:tr w:rsidR="005F5963" w:rsidRPr="003D7DC2" w14:paraId="27534C5B" w14:textId="77777777" w:rsidTr="003D7DC2">
              <w:tc>
                <w:tcPr>
                  <w:tcW w:w="10094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77777777" w:rsidR="005F5963" w:rsidRPr="003D7DC2" w:rsidRDefault="005F5963" w:rsidP="003D7DC2">
                  <w:pPr>
                    <w:pStyle w:val="Akapitzlist"/>
                    <w:numPr>
                      <w:ilvl w:val="0"/>
                      <w:numId w:val="1"/>
                    </w:numPr>
                    <w:contextualSpacing w:val="0"/>
                    <w:rPr>
                      <w:b/>
                    </w:rPr>
                  </w:pPr>
                  <w:bookmarkStart w:id="0" w:name="_GoBack" w:colFirst="0" w:colLast="0"/>
                  <w:r w:rsidRPr="003D7DC2">
                    <w:rPr>
                      <w:b/>
                    </w:rPr>
                    <w:t>Podsumowanie oceny</w:t>
                  </w:r>
                </w:p>
              </w:tc>
            </w:tr>
            <w:tr w:rsidR="005F5963" w:rsidRPr="003D7DC2" w14:paraId="490E9BD5" w14:textId="77777777" w:rsidTr="003D7DC2">
              <w:tc>
                <w:tcPr>
                  <w:tcW w:w="10094" w:type="dxa"/>
                  <w:gridSpan w:val="4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1A5099D" w14:textId="4B3BAD85" w:rsidR="005F5963" w:rsidRPr="003D7DC2" w:rsidRDefault="005F5963" w:rsidP="003D7DC2">
                  <w:pPr>
                    <w:jc w:val="both"/>
                  </w:pPr>
                  <w:r w:rsidRPr="003D7DC2">
                    <w:t>Wynik przeprowadzonej oceny (spełnia/nie spełnia) należy podać dla wszystkich kryterió</w:t>
                  </w:r>
                  <w:r w:rsidR="007238BC" w:rsidRPr="003D7DC2">
                    <w:t>w</w:t>
                  </w:r>
                  <w:r w:rsidRPr="003D7DC2">
                    <w:t xml:space="preserve">. </w:t>
                  </w:r>
                </w:p>
                <w:p w14:paraId="3F12A346" w14:textId="6FB77665" w:rsidR="000D37CE" w:rsidRPr="003D7DC2" w:rsidRDefault="007238BC" w:rsidP="003D7DC2">
                  <w:pPr>
                    <w:pStyle w:val="Akapitzlist"/>
                    <w:ind w:left="0"/>
                    <w:contextualSpacing w:val="0"/>
                    <w:jc w:val="both"/>
                  </w:pPr>
                  <w:r w:rsidRPr="003D7DC2">
                    <w:t xml:space="preserve">Kandydaci na </w:t>
                  </w:r>
                  <w:r w:rsidR="005F5963" w:rsidRPr="003D7DC2">
                    <w:t>członków rad</w:t>
                  </w:r>
                  <w:r w:rsidRPr="003D7DC2">
                    <w:t>y</w:t>
                  </w:r>
                  <w:r w:rsidR="005F5963" w:rsidRPr="003D7DC2">
                    <w:t xml:space="preserve"> nadzorcz</w:t>
                  </w:r>
                  <w:r w:rsidRPr="003D7DC2">
                    <w:t>ej</w:t>
                  </w:r>
                  <w:r w:rsidR="005F5963" w:rsidRPr="003D7DC2">
                    <w:t xml:space="preserve"> bank</w:t>
                  </w:r>
                  <w:r w:rsidRPr="003D7DC2">
                    <w:t>u</w:t>
                  </w:r>
                  <w:r w:rsidR="005F5963" w:rsidRPr="003D7DC2">
                    <w:t xml:space="preserve"> </w:t>
                  </w:r>
                  <w:r w:rsidRPr="003D7DC2">
                    <w:t>spółdzielczego składają</w:t>
                  </w:r>
                  <w:r w:rsidR="005F5963" w:rsidRPr="003D7DC2">
                    <w:t xml:space="preserve"> </w:t>
                  </w:r>
                  <w:r w:rsidR="007E3F7D" w:rsidRPr="003D7DC2">
                    <w:t>załączniki</w:t>
                  </w:r>
                  <w:proofErr w:type="gramStart"/>
                  <w:r w:rsidR="007E3F7D" w:rsidRPr="003D7DC2">
                    <w:t>:</w:t>
                  </w:r>
                  <w:r w:rsidRPr="003D7DC2">
                    <w:br/>
                  </w:r>
                  <w:r w:rsidR="007E3F7D" w:rsidRPr="003D7DC2">
                    <w:t>P</w:t>
                  </w:r>
                  <w:proofErr w:type="gramEnd"/>
                  <w:r w:rsidR="007E3F7D" w:rsidRPr="003D7DC2">
                    <w:t>.A</w:t>
                  </w:r>
                  <w:r w:rsidR="00BA72F1" w:rsidRPr="003D7DC2">
                    <w:t>, P.B</w:t>
                  </w:r>
                  <w:r w:rsidR="007E3F7D" w:rsidRPr="003D7DC2">
                    <w:t>, P.C, P.D, P.E, P.F, P.G, P.H, P.I, P.J</w:t>
                  </w:r>
                  <w:r w:rsidRPr="003D7DC2">
                    <w:t>, P.K</w:t>
                  </w:r>
                  <w:r w:rsidR="007E3F7D" w:rsidRPr="003D7DC2">
                    <w:t>;</w:t>
                  </w:r>
                </w:p>
              </w:tc>
            </w:tr>
            <w:tr w:rsidR="005F5963" w:rsidRPr="003D7DC2" w14:paraId="1883A4F4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5E2778E3" w:rsidR="005F5963" w:rsidRPr="003D7DC2" w:rsidRDefault="005F596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 xml:space="preserve">Kompetencje </w:t>
                  </w:r>
                  <w:r w:rsidR="00BA72F1" w:rsidRPr="003D7DC2">
                    <w:t>–</w:t>
                  </w:r>
                  <w:r w:rsidRPr="003D7DC2">
                    <w:t xml:space="preserve"> wiedza i doświadczenie: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78F1042" w14:textId="03B84015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66F9FA5" w14:textId="08462BA0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4B7CA3C7" w:rsidR="005F5963" w:rsidRPr="003D7DC2" w:rsidRDefault="005F5963" w:rsidP="003D7DC2"/>
              </w:tc>
            </w:tr>
            <w:tr w:rsidR="005F5963" w:rsidRPr="003D7DC2" w14:paraId="12DDC4E1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0D5BD8F2" w14:textId="1816FF99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A</w:t>
                  </w:r>
                </w:p>
                <w:p w14:paraId="179E6727" w14:textId="28DC0D3C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B</w:t>
                  </w:r>
                </w:p>
                <w:p w14:paraId="32E7EF3A" w14:textId="25D1105F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C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6D1566C" w14:textId="0835652F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5108737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wykształcenie</w:t>
                  </w:r>
                </w:p>
                <w:p w14:paraId="27ED1240" w14:textId="2246F296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8129460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życiorys zawodowy</w:t>
                  </w:r>
                </w:p>
                <w:p w14:paraId="4CE1F0C0" w14:textId="0C1C6BFC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597982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opis pozycji z życiorysu </w:t>
                  </w:r>
                  <w:r w:rsidR="005F5963" w:rsidRPr="003D7DC2">
                    <w:t>(</w:t>
                  </w:r>
                  <w:r w:rsidR="007238BC" w:rsidRPr="003D7DC2">
                    <w:t xml:space="preserve"> ___ </w:t>
                  </w:r>
                  <w:r w:rsidR="005F5963" w:rsidRPr="003D7DC2">
                    <w:t>egzemplarzy)</w:t>
                  </w:r>
                </w:p>
              </w:tc>
            </w:tr>
            <w:tr w:rsidR="005F5963" w:rsidRPr="003D7DC2" w14:paraId="5484748E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ACBE11" w14:textId="77777777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3DBD4197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2392DF12" w14:textId="77D59B1E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3992C731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5B1E1E69" w:rsidR="005F5963" w:rsidRPr="003D7DC2" w:rsidRDefault="005F596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 xml:space="preserve">Kompetencje </w:t>
                  </w:r>
                  <w:r w:rsidR="00BA72F1" w:rsidRPr="003D7DC2">
                    <w:t>–</w:t>
                  </w:r>
                  <w:r w:rsidRPr="003D7DC2">
                    <w:t xml:space="preserve"> umiejętności: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AAA82D" w14:textId="06361E55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842824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902A7FB" w14:textId="31A1B427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1885323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07A3E8AE" w:rsidR="005F5963" w:rsidRPr="003D7DC2" w:rsidRDefault="005F5963" w:rsidP="003D7DC2"/>
              </w:tc>
            </w:tr>
            <w:tr w:rsidR="005F5963" w:rsidRPr="003D7DC2" w14:paraId="3C98AFB6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EF071A0" w14:textId="1119EA73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D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943E442" w14:textId="5DEE0827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203356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ocena umiejętności</w:t>
                  </w:r>
                </w:p>
              </w:tc>
            </w:tr>
            <w:tr w:rsidR="005F5963" w:rsidRPr="003D7DC2" w14:paraId="32D4315E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6D4F29" w14:textId="77777777" w:rsidR="005F5963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208A100E" w14:textId="77777777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  <w:p w14:paraId="4CFA2116" w14:textId="567AF09B" w:rsidR="007238BC" w:rsidRPr="003D7DC2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5499540B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176BDF7" w14:textId="1BC37A82" w:rsidR="005F5963" w:rsidRPr="003D7DC2" w:rsidRDefault="005F596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 xml:space="preserve">Kompetencje </w:t>
                  </w:r>
                  <w:r w:rsidR="00BA72F1" w:rsidRPr="003D7DC2">
                    <w:t>–</w:t>
                  </w:r>
                  <w:r w:rsidRPr="003D7DC2">
                    <w:t xml:space="preserve"> </w:t>
                  </w:r>
                  <w:proofErr w:type="gramStart"/>
                  <w:r w:rsidRPr="003D7DC2">
                    <w:t>język  polski</w:t>
                  </w:r>
                  <w:proofErr w:type="gramEnd"/>
                  <w:r w:rsidR="00BA72F1" w:rsidRPr="003D7DC2">
                    <w:t>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6265E7" w14:textId="30A2AFBA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4066903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0EC1919" w14:textId="1531E713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325001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C8BA72E" w14:textId="36221774" w:rsidR="005F5963" w:rsidRPr="003D7DC2" w:rsidRDefault="005F5963" w:rsidP="003D7DC2"/>
              </w:tc>
            </w:tr>
            <w:tr w:rsidR="005F5963" w:rsidRPr="003D7DC2" w14:paraId="404B8929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193A1D04" w14:textId="77777777" w:rsidR="005F5963" w:rsidRPr="003D7DC2" w:rsidRDefault="005F5963" w:rsidP="003D7DC2">
                  <w:pPr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B7EAA3" w14:textId="74173782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B96A686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577CEF5" w14:textId="0D82C478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78175A14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9173664" w14:textId="60B7C55F" w:rsidR="005F5963" w:rsidRPr="003D7DC2" w:rsidRDefault="002A3CF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>Rękojmia</w:t>
                  </w:r>
                  <w:r w:rsidR="005F5963" w:rsidRPr="003D7DC2">
                    <w:t xml:space="preserve"> </w:t>
                  </w:r>
                  <w:r w:rsidR="00BA72F1" w:rsidRPr="003D7DC2">
                    <w:t>–</w:t>
                  </w:r>
                  <w:r w:rsidR="005F5963" w:rsidRPr="003D7DC2">
                    <w:t xml:space="preserve"> karalność: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A8E7AB0" w14:textId="5CEF00F8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3676119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7057C0A" w14:textId="298AD259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841895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8747E21" w14:textId="54EA987A" w:rsidR="005F5963" w:rsidRPr="003D7DC2" w:rsidRDefault="005F5963" w:rsidP="003D7DC2"/>
              </w:tc>
            </w:tr>
            <w:tr w:rsidR="005F5963" w:rsidRPr="003D7DC2" w14:paraId="24895DA0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2E7A3E8" w14:textId="15F19BF1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E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B87D1D2" w14:textId="6CADE09E" w:rsidR="005F5963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13737633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 xml:space="preserve">– </w:t>
                  </w:r>
                  <w:r w:rsidR="005F5963" w:rsidRPr="003D7DC2">
                    <w:rPr>
                      <w:rFonts w:cs="Wingdings"/>
                    </w:rPr>
                    <w:t>karalność</w:t>
                  </w:r>
                </w:p>
              </w:tc>
            </w:tr>
            <w:tr w:rsidR="005F5963" w:rsidRPr="003D7DC2" w14:paraId="7540958D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4D9922D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0FE70A" w14:textId="77777777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0D7F60CA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9C99406" w14:textId="66B14E26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78EEC17B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9B6273A" w14:textId="1271280A" w:rsidR="005F5963" w:rsidRPr="003D7DC2" w:rsidRDefault="002A3CF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>Rękojmia</w:t>
                  </w:r>
                  <w:r w:rsidR="005F5963" w:rsidRPr="003D7DC2">
                    <w:t xml:space="preserve"> </w:t>
                  </w:r>
                  <w:r w:rsidR="00BA72F1" w:rsidRPr="003D7DC2">
                    <w:t>–</w:t>
                  </w:r>
                  <w:r w:rsidR="005F5963" w:rsidRPr="003D7DC2">
                    <w:t xml:space="preserve"> </w:t>
                  </w:r>
                  <w:r w:rsidRPr="003D7DC2">
                    <w:t>reputacja</w:t>
                  </w:r>
                  <w:r w:rsidR="005F5963" w:rsidRPr="003D7DC2">
                    <w:t>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C0BB036" w14:textId="5AA9158B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4858166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740726" w14:textId="37332533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15566222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8745BD9" w14:textId="77777777" w:rsidR="005F5963" w:rsidRPr="003D7DC2" w:rsidRDefault="005F5963" w:rsidP="003D7DC2"/>
                <w:p w14:paraId="5942F646" w14:textId="0A3B1A80" w:rsidR="007238BC" w:rsidRPr="003D7DC2" w:rsidRDefault="007238BC" w:rsidP="003D7DC2"/>
              </w:tc>
            </w:tr>
            <w:tr w:rsidR="005F5963" w:rsidRPr="003D7DC2" w14:paraId="6DED9EF1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A8174A8" w14:textId="1EFD0B39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F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3653D4D" w14:textId="3A20F4AE" w:rsidR="005F5963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881682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oświadczenia kandydata</w:t>
                  </w:r>
                </w:p>
              </w:tc>
            </w:tr>
            <w:tr w:rsidR="005F5963" w:rsidRPr="003D7DC2" w14:paraId="7F674CBB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FF779F0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CC508E" w14:textId="42F441EA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2F917CAF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AB0CD78" w14:textId="77777777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40DC5BA" w14:textId="6C1F3F4D" w:rsidR="007238BC" w:rsidRPr="003D7DC2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58C5B2DB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DC9DBDE" w14:textId="277924EF" w:rsidR="005F5963" w:rsidRPr="003D7DC2" w:rsidRDefault="002A3CF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 xml:space="preserve">Rękojmia </w:t>
                  </w:r>
                  <w:r w:rsidR="00BA72F1" w:rsidRPr="003D7DC2">
                    <w:t>–</w:t>
                  </w:r>
                  <w:r w:rsidRPr="003D7DC2">
                    <w:t xml:space="preserve"> n</w:t>
                  </w:r>
                  <w:r w:rsidR="005F5963" w:rsidRPr="003D7DC2">
                    <w:t>iezależność osądu</w:t>
                  </w:r>
                  <w:r w:rsidR="00BA72F1" w:rsidRPr="003D7DC2">
                    <w:t xml:space="preserve"> –</w:t>
                  </w:r>
                  <w:r w:rsidR="005F5963" w:rsidRPr="003D7DC2">
                    <w:t xml:space="preserve"> konflikt interesów</w:t>
                  </w:r>
                  <w:r w:rsidRPr="003D7DC2">
                    <w:t xml:space="preserve"> i sytuacja finansowa</w:t>
                  </w:r>
                  <w:r w:rsidR="005F5963" w:rsidRPr="003D7DC2">
                    <w:t>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04C398" w14:textId="0C2DE9CB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514652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5D05FEE" w14:textId="4B1F4E3B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9797278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5FD12C5" w14:textId="5D41ACC3" w:rsidR="005F5963" w:rsidRPr="003D7DC2" w:rsidRDefault="005F5963" w:rsidP="003D7DC2"/>
              </w:tc>
            </w:tr>
            <w:tr w:rsidR="005F5963" w:rsidRPr="003D7DC2" w14:paraId="1017F705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36B6A9A" w14:textId="6F437D7B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="002A3CF3" w:rsidRPr="003D7DC2">
                    <w:t>G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AE57721" w14:textId="7E655591" w:rsidR="005F5963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7860856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oświadczenia kandydata</w:t>
                  </w:r>
                </w:p>
              </w:tc>
            </w:tr>
            <w:tr w:rsidR="005F5963" w:rsidRPr="003D7DC2" w14:paraId="44D0E2F6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26C3FFB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BC75541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0DDF2667" w14:textId="7B6914C5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3CEECEB1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9FC1EC" w14:textId="5475FDAD" w:rsidR="005F5963" w:rsidRPr="003D7DC2" w:rsidRDefault="002A3CF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 xml:space="preserve">Rękojmia </w:t>
                  </w:r>
                  <w:r w:rsidR="00BA72F1" w:rsidRPr="003D7DC2">
                    <w:t>–</w:t>
                  </w:r>
                  <w:r w:rsidRPr="003D7DC2">
                    <w:t xml:space="preserve"> n</w:t>
                  </w:r>
                  <w:r w:rsidR="005F5963" w:rsidRPr="003D7DC2">
                    <w:t xml:space="preserve">iezależność osądu </w:t>
                  </w:r>
                  <w:r w:rsidR="00BA72F1" w:rsidRPr="003D7DC2">
                    <w:t>–</w:t>
                  </w:r>
                  <w:r w:rsidR="005F5963" w:rsidRPr="003D7DC2">
                    <w:t xml:space="preserve"> cechy behawioralne: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7DF4A4F" w14:textId="2988E680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71836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328ECC" w14:textId="7CECBE9F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324320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9CD046" w14:textId="3B8D8A8F" w:rsidR="005F5963" w:rsidRPr="003D7DC2" w:rsidRDefault="005F5963" w:rsidP="003D7DC2"/>
              </w:tc>
            </w:tr>
            <w:tr w:rsidR="005F5963" w:rsidRPr="003D7DC2" w14:paraId="4B9DE571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7C3E29" w14:textId="55F1B091" w:rsidR="005F5963" w:rsidRPr="003D7DC2" w:rsidRDefault="002A3CF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Pr="003D7DC2">
                    <w:t>H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96966EA" w14:textId="6BA006FE" w:rsidR="005F5963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399450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ocena w zakresie niezależności osądu</w:t>
                  </w:r>
                </w:p>
              </w:tc>
            </w:tr>
            <w:tr w:rsidR="005F5963" w:rsidRPr="003D7DC2" w14:paraId="2B527B53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377F001" w14:textId="77777777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CF2BE0" w14:textId="77777777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491E5E3A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2D11B914" w14:textId="77777777" w:rsid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  <w:p w14:paraId="2B3F0293" w14:textId="2E96BCA1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EE25E1" w:rsidRPr="003D7DC2" w14:paraId="1FF53F7B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14BD77E" w14:textId="75392705" w:rsidR="00EE25E1" w:rsidRPr="003D7DC2" w:rsidRDefault="00EE25E1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>Łączenie stanowisk</w:t>
                  </w:r>
                  <w:r w:rsidR="00BA72F1" w:rsidRPr="003D7DC2">
                    <w:t>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96FA6F" w14:textId="77777777" w:rsidR="00EE25E1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147524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EE25E1" w:rsidRPr="003D7DC2">
                    <w:rPr>
                      <w:rFonts w:ascii="Wingdings" w:hAnsi="Wingdings" w:cs="Wingdings"/>
                    </w:rPr>
                    <w:t></w:t>
                  </w:r>
                  <w:r w:rsidR="00EE25E1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C1218F8" w14:textId="77777777" w:rsidR="00EE25E1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599725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EE25E1" w:rsidRPr="003D7DC2">
                    <w:rPr>
                      <w:rFonts w:ascii="Wingdings" w:hAnsi="Wingdings" w:cs="Wingdings"/>
                    </w:rPr>
                    <w:t></w:t>
                  </w:r>
                  <w:r w:rsidR="00EE25E1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D548EC1" w14:textId="400961FF" w:rsidR="00EE25E1" w:rsidRPr="003D7DC2" w:rsidRDefault="00EE25E1" w:rsidP="003D7DC2"/>
              </w:tc>
            </w:tr>
            <w:tr w:rsidR="00EE25E1" w:rsidRPr="003D7DC2" w14:paraId="7AA39A50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E912275" w14:textId="49DF1301" w:rsidR="00EE25E1" w:rsidRPr="003D7DC2" w:rsidRDefault="00EE25E1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Załącznik P.I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E3B500" w14:textId="4DDAF4B3" w:rsidR="00EE25E1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-524176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E25E1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EE25E1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EE25E1" w:rsidRPr="003D7DC2">
                    <w:rPr>
                      <w:rFonts w:cs="Wingdings"/>
                    </w:rPr>
                    <w:t xml:space="preserve"> ocena w zakresie łączenia stanowisk</w:t>
                  </w:r>
                </w:p>
              </w:tc>
            </w:tr>
            <w:tr w:rsidR="00EE25E1" w:rsidRPr="003D7DC2" w14:paraId="2878E854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163DCAE" w14:textId="77777777" w:rsidR="00EE25E1" w:rsidRPr="003D7DC2" w:rsidRDefault="00EE25E1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12C56C" w14:textId="77777777" w:rsidR="00EE25E1" w:rsidRDefault="00EE25E1" w:rsidP="003D7DC2">
                  <w:pPr>
                    <w:rPr>
                      <w:rFonts w:ascii="Wingdings" w:hAnsi="Wingdings" w:cs="Wingdings"/>
                    </w:rPr>
                  </w:pPr>
                </w:p>
                <w:p w14:paraId="1BF5FE39" w14:textId="77777777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  <w:p w14:paraId="6EF74740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1F15F586" w14:textId="11D323D8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5F5963" w:rsidRPr="003D7DC2" w14:paraId="6ACFDF42" w14:textId="77777777" w:rsidTr="003D7DC2">
              <w:tc>
                <w:tcPr>
                  <w:tcW w:w="357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651E24A" w14:textId="63EA682B" w:rsidR="005F5963" w:rsidRPr="003D7DC2" w:rsidRDefault="005F5963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br w:type="page"/>
                    <w:t>Poświęcanie czasu</w:t>
                  </w:r>
                  <w:r w:rsidR="00BA72F1" w:rsidRPr="003D7DC2">
                    <w:t>:</w:t>
                  </w:r>
                </w:p>
              </w:tc>
              <w:tc>
                <w:tcPr>
                  <w:tcW w:w="1409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E630121" w14:textId="4E47C4F1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8616584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72F3D6F" w14:textId="051C6A76" w:rsidR="005F5963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1233613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ascii="Wingdings" w:hAnsi="Wingdings" w:cs="Wingdings"/>
                    </w:rPr>
                    <w:t></w:t>
                  </w:r>
                  <w:r w:rsidR="005F5963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549B20" w14:textId="43014981" w:rsidR="005F5963" w:rsidRPr="003D7DC2" w:rsidRDefault="005F5963" w:rsidP="003D7DC2"/>
              </w:tc>
            </w:tr>
            <w:tr w:rsidR="005F5963" w:rsidRPr="003D7DC2" w14:paraId="4FF53069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43B4CF80" w14:textId="78C9DFBE" w:rsidR="005F5963" w:rsidRPr="003D7DC2" w:rsidRDefault="002A3CF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 xml:space="preserve">Załącznik </w:t>
                  </w:r>
                  <w:r w:rsidR="004F78FD" w:rsidRPr="003D7DC2">
                    <w:t>P.</w:t>
                  </w:r>
                  <w:r w:rsidR="00EE25E1" w:rsidRPr="003D7DC2">
                    <w:t>J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A894A54" w14:textId="69AE952C" w:rsidR="005F5963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5246787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5F5963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5F5963" w:rsidRPr="003D7DC2">
                    <w:rPr>
                      <w:rFonts w:cs="Wingdings"/>
                    </w:rPr>
                    <w:t xml:space="preserve"> ocena w zakresie poświęcania czasu</w:t>
                  </w:r>
                </w:p>
              </w:tc>
            </w:tr>
            <w:tr w:rsidR="005F5963" w:rsidRPr="003D7DC2" w14:paraId="5D460386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0C4F1952" w14:textId="6E67A019" w:rsidR="005F5963" w:rsidRPr="003D7DC2" w:rsidRDefault="005F5963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</w:t>
                  </w:r>
                  <w:r w:rsidR="00BA72F1" w:rsidRPr="003D7DC2">
                    <w:t>i</w:t>
                  </w:r>
                  <w:r w:rsidRPr="003D7DC2">
                    <w:t>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8F8C18" w14:textId="77777777" w:rsidR="005F5963" w:rsidRPr="003D7DC2" w:rsidRDefault="005F5963" w:rsidP="003D7DC2">
                  <w:pPr>
                    <w:rPr>
                      <w:rFonts w:ascii="Wingdings" w:hAnsi="Wingdings" w:cs="Wingdings"/>
                    </w:rPr>
                  </w:pPr>
                </w:p>
                <w:p w14:paraId="47268EE6" w14:textId="77777777" w:rsidR="007238BC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  <w:p w14:paraId="518B04DA" w14:textId="272CA3AB" w:rsidR="003D7DC2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0D37CE" w:rsidRPr="003D7DC2" w14:paraId="27A9D618" w14:textId="77777777" w:rsidTr="003D7DC2">
              <w:tc>
                <w:tcPr>
                  <w:tcW w:w="3574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0FF04B9" w14:textId="699DAEFF" w:rsidR="000D37CE" w:rsidRPr="003D7DC2" w:rsidRDefault="000D37CE" w:rsidP="003D7DC2">
                  <w:pPr>
                    <w:pStyle w:val="Akapitzlist"/>
                    <w:numPr>
                      <w:ilvl w:val="0"/>
                      <w:numId w:val="4"/>
                    </w:numPr>
                    <w:contextualSpacing w:val="0"/>
                  </w:pPr>
                  <w:r w:rsidRPr="003D7DC2">
                    <w:t>Powiązania z bankiem spółdzielczym</w:t>
                  </w:r>
                  <w:r w:rsidR="00BA72F1" w:rsidRPr="003D7DC2">
                    <w:t>: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540EE55" w14:textId="742C213C" w:rsidR="000D37CE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1549027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D37CE" w:rsidRPr="003D7DC2">
                    <w:rPr>
                      <w:rFonts w:ascii="Wingdings" w:hAnsi="Wingdings" w:cs="Wingdings"/>
                    </w:rPr>
                    <w:t></w:t>
                  </w:r>
                  <w:r w:rsidR="000D37CE" w:rsidRPr="003D7DC2">
                    <w:t xml:space="preserve">spełnia         </w:t>
                  </w:r>
                </w:p>
              </w:tc>
              <w:tc>
                <w:tcPr>
                  <w:tcW w:w="20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703FF01" w14:textId="248198B4" w:rsidR="000D37CE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2016642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D37CE" w:rsidRPr="003D7DC2">
                    <w:rPr>
                      <w:rFonts w:ascii="Wingdings" w:hAnsi="Wingdings" w:cs="Wingdings"/>
                    </w:rPr>
                    <w:t></w:t>
                  </w:r>
                  <w:r w:rsidR="000D37CE" w:rsidRPr="003D7DC2">
                    <w:t>nie spełnia</w:t>
                  </w:r>
                </w:p>
              </w:tc>
              <w:tc>
                <w:tcPr>
                  <w:tcW w:w="307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7264FF7A" w14:textId="236DB9D9" w:rsidR="000D37CE" w:rsidRPr="003D7DC2" w:rsidRDefault="000D37CE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  <w:tr w:rsidR="000D37CE" w:rsidRPr="003D7DC2" w14:paraId="3ADE8B9F" w14:textId="77777777" w:rsidTr="003D7DC2">
              <w:tc>
                <w:tcPr>
                  <w:tcW w:w="357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10641D5" w14:textId="33AC4F42" w:rsidR="000D37CE" w:rsidRPr="003D7DC2" w:rsidRDefault="000D37CE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Załącznik P.K.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81864C4" w14:textId="33CED9A1" w:rsidR="000D37CE" w:rsidRPr="003D7DC2" w:rsidRDefault="003D7DC2" w:rsidP="003D7DC2">
                  <w:pPr>
                    <w:rPr>
                      <w:rFonts w:ascii="Wingdings" w:hAnsi="Wingdings" w:cs="Wingdings"/>
                    </w:rPr>
                  </w:pPr>
                  <w:sdt>
                    <w:sdtPr>
                      <w:rPr>
                        <w:rFonts w:ascii="Wingdings" w:hAnsi="Wingdings" w:cs="Wingdings"/>
                      </w:rPr>
                      <w:id w:val="211940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  <w:r w:rsidR="000D37CE" w:rsidRPr="003D7DC2">
                    <w:rPr>
                      <w:rFonts w:cs="Wingdings"/>
                    </w:rPr>
                    <w:t xml:space="preserve"> </w:t>
                  </w:r>
                  <w:r w:rsidR="00BA72F1" w:rsidRPr="003D7DC2">
                    <w:rPr>
                      <w:rFonts w:cs="Wingdings"/>
                    </w:rPr>
                    <w:t>–</w:t>
                  </w:r>
                  <w:r w:rsidR="000D37CE" w:rsidRPr="003D7DC2">
                    <w:rPr>
                      <w:rFonts w:cs="Wingdings"/>
                    </w:rPr>
                    <w:t xml:space="preserve"> powiązania z bankiem spółdzielczym</w:t>
                  </w:r>
                </w:p>
              </w:tc>
            </w:tr>
            <w:tr w:rsidR="000D37CE" w:rsidRPr="003D7DC2" w14:paraId="486B1381" w14:textId="77777777" w:rsidTr="003D7DC2">
              <w:tc>
                <w:tcPr>
                  <w:tcW w:w="357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137B356" w14:textId="6D37B863" w:rsidR="000D37CE" w:rsidRPr="003D7DC2" w:rsidRDefault="000D37CE" w:rsidP="003D7DC2">
                  <w:pPr>
                    <w:pStyle w:val="Akapitzlist"/>
                    <w:ind w:left="360"/>
                    <w:contextualSpacing w:val="0"/>
                    <w:jc w:val="right"/>
                  </w:pPr>
                  <w:r w:rsidRPr="003D7DC2">
                    <w:t>Uwagi:</w:t>
                  </w:r>
                </w:p>
              </w:tc>
              <w:tc>
                <w:tcPr>
                  <w:tcW w:w="6520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8299F7" w14:textId="77777777" w:rsidR="000D37CE" w:rsidRPr="003D7DC2" w:rsidRDefault="000D37CE" w:rsidP="003D7DC2">
                  <w:pPr>
                    <w:rPr>
                      <w:rFonts w:ascii="Wingdings" w:hAnsi="Wingdings" w:cs="Wingdings"/>
                    </w:rPr>
                  </w:pPr>
                </w:p>
                <w:p w14:paraId="30E7D1DF" w14:textId="7BFE5EAA" w:rsidR="007238BC" w:rsidRPr="003D7DC2" w:rsidRDefault="007238BC" w:rsidP="003D7DC2">
                  <w:pPr>
                    <w:rPr>
                      <w:rFonts w:ascii="Wingdings" w:hAnsi="Wingdings" w:cs="Wingdings"/>
                    </w:rPr>
                  </w:pPr>
                </w:p>
              </w:tc>
            </w:tr>
          </w:tbl>
          <w:p w14:paraId="01C709D7" w14:textId="2EA87E23" w:rsidR="003D7DC2" w:rsidRDefault="003D7DC2" w:rsidP="003D7DC2">
            <w:pPr>
              <w:ind w:firstLine="708"/>
              <w:rPr>
                <w:sz w:val="12"/>
              </w:rPr>
            </w:pPr>
          </w:p>
          <w:p w14:paraId="10FBC4A2" w14:textId="25B32C02" w:rsidR="003D7DC2" w:rsidRDefault="003D7DC2" w:rsidP="003D7DC2">
            <w:pPr>
              <w:rPr>
                <w:sz w:val="12"/>
              </w:rPr>
            </w:pPr>
          </w:p>
          <w:p w14:paraId="65AC0232" w14:textId="12DD1E38" w:rsidR="00C42E46" w:rsidRPr="003D7DC2" w:rsidRDefault="003D7DC2" w:rsidP="003D7DC2">
            <w:pPr>
              <w:tabs>
                <w:tab w:val="left" w:pos="990"/>
              </w:tabs>
              <w:rPr>
                <w:sz w:val="12"/>
              </w:rPr>
            </w:pPr>
            <w:r>
              <w:rPr>
                <w:sz w:val="12"/>
              </w:rPr>
              <w:tab/>
            </w:r>
          </w:p>
        </w:tc>
      </w:tr>
      <w:bookmarkEnd w:id="0"/>
      <w:tr w:rsidR="000D37CE" w14:paraId="41A25104" w14:textId="77777777" w:rsidTr="003D7DC2">
        <w:tc>
          <w:tcPr>
            <w:tcW w:w="10491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0094" w:type="dxa"/>
              <w:tblLook w:val="04A0" w:firstRow="1" w:lastRow="0" w:firstColumn="1" w:lastColumn="0" w:noHBand="0" w:noVBand="1"/>
            </w:tblPr>
            <w:tblGrid>
              <w:gridCol w:w="3532"/>
              <w:gridCol w:w="436"/>
              <w:gridCol w:w="6126"/>
            </w:tblGrid>
            <w:tr w:rsidR="000D37CE" w:rsidRPr="003D7DC2" w14:paraId="0C3F1A37" w14:textId="77777777" w:rsidTr="003D7DC2">
              <w:tc>
                <w:tcPr>
                  <w:tcW w:w="10094" w:type="dxa"/>
                  <w:gridSpan w:val="3"/>
                  <w:shd w:val="clear" w:color="auto" w:fill="E7E6E6" w:themeFill="background2"/>
                  <w:vAlign w:val="center"/>
                </w:tcPr>
                <w:p w14:paraId="308F8070" w14:textId="09BED61D" w:rsidR="000D37CE" w:rsidRPr="003D7DC2" w:rsidRDefault="000D37CE" w:rsidP="003D7DC2">
                  <w:pPr>
                    <w:pStyle w:val="Akapitzlist"/>
                    <w:numPr>
                      <w:ilvl w:val="0"/>
                      <w:numId w:val="1"/>
                    </w:numPr>
                    <w:contextualSpacing w:val="0"/>
                    <w:rPr>
                      <w:b/>
                    </w:rPr>
                  </w:pPr>
                  <w:r w:rsidRPr="003D7DC2">
                    <w:br w:type="page"/>
                  </w:r>
                  <w:r w:rsidRPr="003D7DC2">
                    <w:rPr>
                      <w:b/>
                    </w:rPr>
                    <w:t>Rekomendowane działania</w:t>
                  </w:r>
                </w:p>
              </w:tc>
            </w:tr>
            <w:tr w:rsidR="000D37CE" w:rsidRPr="003D7DC2" w14:paraId="636C2DB2" w14:textId="77777777" w:rsidTr="003D7DC2">
              <w:trPr>
                <w:trHeight w:val="247"/>
              </w:trPr>
              <w:tc>
                <w:tcPr>
                  <w:tcW w:w="3574" w:type="dxa"/>
                  <w:vMerge w:val="restart"/>
                  <w:shd w:val="clear" w:color="auto" w:fill="E7E6E6" w:themeFill="background2"/>
                </w:tcPr>
                <w:p w14:paraId="6BDD5511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  <w:r w:rsidRPr="003D7DC2">
                    <w:t>W wyniku przeprowadzonej oceny, w zakresie powołania kandydata na stanowisko – rekomenduje się:</w:t>
                  </w:r>
                </w:p>
              </w:tc>
              <w:tc>
                <w:tcPr>
                  <w:tcW w:w="2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25156A02" w14:textId="16BF8392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419099E1" w14:textId="217FB315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powołać</w:t>
                  </w:r>
                  <w:proofErr w:type="gramEnd"/>
                  <w:r w:rsidRPr="003D7DC2">
                    <w:t xml:space="preserve"> kandydata na wskazane stanowisko</w:t>
                  </w:r>
                </w:p>
              </w:tc>
            </w:tr>
            <w:tr w:rsidR="000D37CE" w:rsidRPr="003D7DC2" w14:paraId="41554595" w14:textId="77777777" w:rsidTr="003D7DC2">
              <w:trPr>
                <w:trHeight w:val="247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4821E127" w14:textId="77777777" w:rsidR="000D37CE" w:rsidRPr="003D7DC2" w:rsidRDefault="000D37CE" w:rsidP="003D7DC2"/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6C766B0" w14:textId="62CAB709" w:rsidR="000D37CE" w:rsidRPr="003D7DC2" w:rsidRDefault="000D37CE" w:rsidP="003D7DC2"/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BB5FC1" w14:textId="79D10571" w:rsidR="000D37CE" w:rsidRPr="003D7DC2" w:rsidRDefault="000D37CE" w:rsidP="003D7DC2">
                  <w:pPr>
                    <w:jc w:val="both"/>
                  </w:pPr>
                </w:p>
              </w:tc>
            </w:tr>
            <w:tr w:rsidR="000D37CE" w:rsidRPr="003D7DC2" w14:paraId="15892E4D" w14:textId="77777777" w:rsidTr="003D7DC2">
              <w:trPr>
                <w:trHeight w:val="247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7F5B3021" w14:textId="77777777" w:rsidR="000D37CE" w:rsidRPr="003D7DC2" w:rsidRDefault="000D37CE" w:rsidP="003D7DC2"/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8525B5F" w14:textId="18A14BAC" w:rsidR="000D37CE" w:rsidRPr="003D7DC2" w:rsidRDefault="000D37CE" w:rsidP="003D7DC2"/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3A882F3E" w14:textId="163E3BEF" w:rsidR="000D37CE" w:rsidRPr="003D7DC2" w:rsidRDefault="000D37CE" w:rsidP="003D7DC2">
                  <w:pPr>
                    <w:jc w:val="both"/>
                  </w:pPr>
                </w:p>
              </w:tc>
            </w:tr>
            <w:tr w:rsidR="000D37CE" w:rsidRPr="003D7DC2" w14:paraId="1ABB20FA" w14:textId="77777777" w:rsidTr="003D7DC2">
              <w:trPr>
                <w:trHeight w:val="247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4AC1EC1B" w14:textId="77777777" w:rsidR="000D37CE" w:rsidRPr="003D7DC2" w:rsidRDefault="000D37CE" w:rsidP="003D7DC2"/>
              </w:tc>
              <w:tc>
                <w:tcPr>
                  <w:tcW w:w="2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0C8BA120" w14:textId="71F72EBC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63B10FE1" w14:textId="4E7FCBCC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odstąpić</w:t>
                  </w:r>
                  <w:proofErr w:type="gramEnd"/>
                  <w:r w:rsidRPr="003D7DC2">
                    <w:t xml:space="preserve"> od powołania kandydata na stanowisko</w:t>
                  </w:r>
                </w:p>
              </w:tc>
            </w:tr>
            <w:tr w:rsidR="000D37CE" w:rsidRPr="003D7DC2" w14:paraId="53DBCF6E" w14:textId="77777777" w:rsidTr="003D7DC2">
              <w:trPr>
                <w:trHeight w:val="395"/>
              </w:trPr>
              <w:tc>
                <w:tcPr>
                  <w:tcW w:w="3574" w:type="dxa"/>
                  <w:vMerge w:val="restart"/>
                  <w:shd w:val="clear" w:color="auto" w:fill="E7E6E6" w:themeFill="background2"/>
                </w:tcPr>
                <w:p w14:paraId="17ECE26D" w14:textId="2917B468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  <w:r w:rsidRPr="003D7DC2">
                    <w:t>W zakresie zidentyfikowanych odstępstw od wymogów lub innych słabych stron kandydata –</w:t>
                  </w:r>
                  <w:r w:rsidR="00BA72F1" w:rsidRPr="003D7DC2">
                    <w:t xml:space="preserve"> </w:t>
                  </w:r>
                  <w:r w:rsidRPr="003D7DC2">
                    <w:t>rekomenduje się podjęcie następujących działań naprawczych</w:t>
                  </w:r>
                  <w:r w:rsidR="00BA72F1" w:rsidRPr="003D7DC2">
                    <w:t>:</w:t>
                  </w:r>
                </w:p>
              </w:tc>
              <w:tc>
                <w:tcPr>
                  <w:tcW w:w="2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5B72DA3" w14:textId="4CFF1876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0F5EAF58" w14:textId="77777777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w</w:t>
                  </w:r>
                  <w:proofErr w:type="gramEnd"/>
                  <w:r w:rsidRPr="003D7DC2">
                    <w:t xml:space="preserve"> zakresie wykształcenia i umiejętności kandydata – skierowanie kandydata na dodatkowe kursy/szkolenia:</w:t>
                  </w:r>
                </w:p>
                <w:p w14:paraId="74C177B9" w14:textId="77777777" w:rsidR="000D37CE" w:rsidRPr="003D7DC2" w:rsidRDefault="000D37CE" w:rsidP="003D7DC2">
                  <w:pPr>
                    <w:jc w:val="both"/>
                  </w:pPr>
                </w:p>
                <w:p w14:paraId="3E797073" w14:textId="3D1ADEC1" w:rsidR="007238BC" w:rsidRPr="003D7DC2" w:rsidRDefault="007238BC" w:rsidP="003D7DC2">
                  <w:pPr>
                    <w:jc w:val="both"/>
                  </w:pPr>
                </w:p>
              </w:tc>
            </w:tr>
            <w:tr w:rsidR="000D37CE" w:rsidRPr="003D7DC2" w14:paraId="60AA2D05" w14:textId="77777777" w:rsidTr="003D7DC2">
              <w:trPr>
                <w:trHeight w:val="391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32B19F21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63328B9B" w14:textId="432757DE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-1835756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25229240" w14:textId="6E2F98B9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w</w:t>
                  </w:r>
                  <w:proofErr w:type="gramEnd"/>
                  <w:r w:rsidRPr="003D7DC2">
                    <w:t xml:space="preserve"> zakresie poświęcania czasu – wdrożenie rozwiązań umożliwiających zwiększenie zaangażowania kandydata:</w:t>
                  </w:r>
                </w:p>
                <w:p w14:paraId="189752D6" w14:textId="3302D3E4" w:rsidR="000D37CE" w:rsidRPr="003D7DC2" w:rsidRDefault="000D37CE" w:rsidP="003D7DC2">
                  <w:pPr>
                    <w:jc w:val="both"/>
                  </w:pPr>
                </w:p>
                <w:p w14:paraId="3A516C07" w14:textId="3F37D096" w:rsidR="005838CE" w:rsidRPr="003D7DC2" w:rsidRDefault="005838CE" w:rsidP="003D7DC2">
                  <w:pPr>
                    <w:jc w:val="both"/>
                  </w:pPr>
                </w:p>
              </w:tc>
            </w:tr>
            <w:tr w:rsidR="000D37CE" w:rsidRPr="003D7DC2" w14:paraId="23B94857" w14:textId="77777777" w:rsidTr="003D7DC2">
              <w:trPr>
                <w:trHeight w:val="391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7B8E08E8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12F8A24C" w14:textId="0A1E20C9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7547732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776F461" w14:textId="4454F2FE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w</w:t>
                  </w:r>
                  <w:proofErr w:type="gramEnd"/>
                  <w:r w:rsidRPr="003D7DC2">
                    <w:t xml:space="preserve"> zakresie poświęcania czasu – wdrożenie rozwiązań zmniejszających zakres niezbędnego zaangażowania:</w:t>
                  </w:r>
                </w:p>
                <w:p w14:paraId="6CF278D2" w14:textId="77777777" w:rsidR="007238BC" w:rsidRDefault="007238BC" w:rsidP="003D7DC2">
                  <w:pPr>
                    <w:jc w:val="both"/>
                  </w:pPr>
                </w:p>
                <w:p w14:paraId="598A24F9" w14:textId="30057A03" w:rsidR="003D7DC2" w:rsidRPr="003D7DC2" w:rsidRDefault="003D7DC2" w:rsidP="003D7DC2">
                  <w:pPr>
                    <w:jc w:val="both"/>
                  </w:pPr>
                </w:p>
              </w:tc>
            </w:tr>
            <w:tr w:rsidR="000D37CE" w:rsidRPr="003D7DC2" w14:paraId="02C976D5" w14:textId="77777777" w:rsidTr="003D7DC2">
              <w:trPr>
                <w:trHeight w:val="391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1618E9F4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54D3FFE5" w14:textId="4A95FC5B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2139691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640CCE41" w14:textId="392DEEBB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w</w:t>
                  </w:r>
                  <w:proofErr w:type="gramEnd"/>
                  <w:r w:rsidRPr="003D7DC2">
                    <w:t xml:space="preserve"> zakresie liczby zajmowanych stanowisk – rezygnacja kandydata z pełnionych równolegle funkcji:</w:t>
                  </w:r>
                </w:p>
                <w:p w14:paraId="22CBE8E4" w14:textId="322C5014" w:rsidR="000D37CE" w:rsidRPr="003D7DC2" w:rsidRDefault="000D37CE" w:rsidP="003D7DC2">
                  <w:pPr>
                    <w:jc w:val="both"/>
                  </w:pPr>
                </w:p>
                <w:p w14:paraId="6DACC11A" w14:textId="7397C90E" w:rsidR="007238BC" w:rsidRPr="003D7DC2" w:rsidRDefault="007238BC" w:rsidP="003D7DC2">
                  <w:pPr>
                    <w:jc w:val="both"/>
                  </w:pPr>
                </w:p>
                <w:p w14:paraId="5A517A30" w14:textId="0E114C9E" w:rsidR="007238BC" w:rsidRPr="003D7DC2" w:rsidRDefault="007238BC" w:rsidP="003D7DC2">
                  <w:pPr>
                    <w:jc w:val="both"/>
                  </w:pPr>
                </w:p>
              </w:tc>
            </w:tr>
            <w:tr w:rsidR="000D37CE" w:rsidRPr="003D7DC2" w14:paraId="60691DF9" w14:textId="77777777" w:rsidTr="003D7DC2">
              <w:trPr>
                <w:trHeight w:val="391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05E0725E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14:paraId="0E904157" w14:textId="3C1A3C63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668130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D37CE" w:rsidRPr="003D7DC2"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nil"/>
                  </w:tcBorders>
                  <w:shd w:val="clear" w:color="auto" w:fill="FFFFFF" w:themeFill="background1"/>
                </w:tcPr>
                <w:p w14:paraId="4F277220" w14:textId="77777777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w</w:t>
                  </w:r>
                  <w:proofErr w:type="gramEnd"/>
                  <w:r w:rsidRPr="003D7DC2">
                    <w:t xml:space="preserve"> zakresie konfliktu interesów – eliminacja zidentyfikowanych konfliktów interesów lub wprowadzenie rozwiązań zapewniających zarządzanie konfliktem interesów:</w:t>
                  </w:r>
                </w:p>
                <w:p w14:paraId="5C08DA95" w14:textId="77777777" w:rsidR="007238BC" w:rsidRPr="003D7DC2" w:rsidRDefault="007238BC" w:rsidP="003D7DC2">
                  <w:pPr>
                    <w:jc w:val="both"/>
                  </w:pPr>
                </w:p>
                <w:p w14:paraId="375203D0" w14:textId="6AA938C0" w:rsidR="007238BC" w:rsidRPr="003D7DC2" w:rsidRDefault="007238BC" w:rsidP="003D7DC2">
                  <w:pPr>
                    <w:jc w:val="both"/>
                  </w:pPr>
                </w:p>
              </w:tc>
            </w:tr>
            <w:tr w:rsidR="000D37CE" w:rsidRPr="003D7DC2" w14:paraId="34EC6165" w14:textId="77777777" w:rsidTr="003D7DC2">
              <w:trPr>
                <w:trHeight w:val="391"/>
              </w:trPr>
              <w:tc>
                <w:tcPr>
                  <w:tcW w:w="3574" w:type="dxa"/>
                  <w:vMerge/>
                  <w:shd w:val="clear" w:color="auto" w:fill="E7E6E6" w:themeFill="background2"/>
                </w:tcPr>
                <w:p w14:paraId="3BAFCA60" w14:textId="77777777" w:rsidR="000D37CE" w:rsidRPr="003D7DC2" w:rsidRDefault="000D37CE" w:rsidP="003D7DC2">
                  <w:pPr>
                    <w:pStyle w:val="Akapitzlist"/>
                    <w:numPr>
                      <w:ilvl w:val="0"/>
                      <w:numId w:val="7"/>
                    </w:numPr>
                    <w:contextualSpacing w:val="0"/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61F39472" w14:textId="06C52080" w:rsidR="000D37CE" w:rsidRPr="003D7DC2" w:rsidRDefault="003D7DC2" w:rsidP="003D7DC2">
                  <w:sdt>
                    <w:sdtPr>
                      <w:rPr>
                        <w:rFonts w:ascii="Wingdings" w:hAnsi="Wingdings" w:cs="Wingdings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Wingdings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6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5892D5DE" w14:textId="77777777" w:rsidR="000D37CE" w:rsidRPr="003D7DC2" w:rsidRDefault="000D37CE" w:rsidP="003D7DC2">
                  <w:pPr>
                    <w:jc w:val="both"/>
                  </w:pPr>
                  <w:proofErr w:type="gramStart"/>
                  <w:r w:rsidRPr="003D7DC2">
                    <w:t>inne</w:t>
                  </w:r>
                  <w:proofErr w:type="gramEnd"/>
                  <w:r w:rsidRPr="003D7DC2">
                    <w:t>:</w:t>
                  </w:r>
                </w:p>
                <w:p w14:paraId="3E647DF5" w14:textId="77777777" w:rsidR="007238BC" w:rsidRPr="003D7DC2" w:rsidRDefault="007238BC" w:rsidP="003D7DC2">
                  <w:pPr>
                    <w:jc w:val="both"/>
                  </w:pPr>
                </w:p>
                <w:p w14:paraId="14239A8A" w14:textId="3040EC5B" w:rsidR="007238BC" w:rsidRPr="003D7DC2" w:rsidRDefault="007238BC" w:rsidP="003D7DC2">
                  <w:pPr>
                    <w:jc w:val="both"/>
                  </w:pPr>
                </w:p>
              </w:tc>
            </w:tr>
          </w:tbl>
          <w:p w14:paraId="61AC945D" w14:textId="77777777" w:rsidR="000D37CE" w:rsidRPr="003D7DC2" w:rsidRDefault="000D37CE" w:rsidP="003D7DC2">
            <w:pPr>
              <w:rPr>
                <w:b/>
              </w:rPr>
            </w:pPr>
          </w:p>
          <w:tbl>
            <w:tblPr>
              <w:tblStyle w:val="Tabela-Siatka"/>
              <w:tblW w:w="10094" w:type="dxa"/>
              <w:tblLook w:val="04A0" w:firstRow="1" w:lastRow="0" w:firstColumn="1" w:lastColumn="0" w:noHBand="0" w:noVBand="1"/>
            </w:tblPr>
            <w:tblGrid>
              <w:gridCol w:w="2944"/>
              <w:gridCol w:w="7150"/>
            </w:tblGrid>
            <w:tr w:rsidR="000D37CE" w:rsidRPr="003D7DC2" w14:paraId="1BB58271" w14:textId="77777777" w:rsidTr="003D7DC2">
              <w:tc>
                <w:tcPr>
                  <w:tcW w:w="2944" w:type="dxa"/>
                  <w:shd w:val="clear" w:color="auto" w:fill="E7E6E6" w:themeFill="background2"/>
                </w:tcPr>
                <w:p w14:paraId="236FD8E9" w14:textId="7DA02D0F" w:rsidR="000D37CE" w:rsidRPr="003D7DC2" w:rsidRDefault="000D37CE" w:rsidP="003D7DC2">
                  <w:r w:rsidRPr="003D7DC2">
                    <w:t>Data i podpis</w:t>
                  </w:r>
                  <w:r w:rsidR="00C51A63" w:rsidRPr="003D7DC2">
                    <w:t>y</w:t>
                  </w:r>
                  <w:r w:rsidRPr="003D7DC2">
                    <w:t xml:space="preserve"> </w:t>
                  </w:r>
                  <w:r w:rsidR="00C51A63" w:rsidRPr="003D7DC2">
                    <w:t>za organ dokonujący oceny</w:t>
                  </w:r>
                  <w:r w:rsidRPr="003D7DC2">
                    <w:t>:</w:t>
                  </w:r>
                </w:p>
              </w:tc>
              <w:tc>
                <w:tcPr>
                  <w:tcW w:w="7150" w:type="dxa"/>
                  <w:shd w:val="clear" w:color="auto" w:fill="FFFFFF" w:themeFill="background1"/>
                </w:tcPr>
                <w:p w14:paraId="1958BDF9" w14:textId="77777777" w:rsidR="007238BC" w:rsidRPr="003D7DC2" w:rsidRDefault="007238BC" w:rsidP="003D7DC2"/>
                <w:p w14:paraId="555F45DE" w14:textId="77777777" w:rsidR="007238BC" w:rsidRPr="003D7DC2" w:rsidRDefault="007238BC" w:rsidP="003D7DC2"/>
                <w:p w14:paraId="14E120D7" w14:textId="7C7CA8A9" w:rsidR="007238BC" w:rsidRPr="003D7DC2" w:rsidRDefault="007238BC" w:rsidP="003D7DC2"/>
              </w:tc>
            </w:tr>
          </w:tbl>
          <w:p w14:paraId="14F622D0" w14:textId="1FD24BA4" w:rsidR="000D37CE" w:rsidRPr="003D7DC2" w:rsidRDefault="000D37CE" w:rsidP="003D7DC2">
            <w:pPr>
              <w:rPr>
                <w:b/>
              </w:rPr>
            </w:pPr>
          </w:p>
        </w:tc>
      </w:tr>
    </w:tbl>
    <w:p w14:paraId="190E47C8" w14:textId="77777777" w:rsidR="005A4BB8" w:rsidRPr="00A44574" w:rsidRDefault="005A4BB8" w:rsidP="005838CE">
      <w:pPr>
        <w:rPr>
          <w:sz w:val="24"/>
          <w:szCs w:val="24"/>
        </w:rPr>
      </w:pPr>
    </w:p>
    <w:sectPr w:rsidR="005A4BB8" w:rsidRPr="00A44574" w:rsidSect="003D7DC2">
      <w:footerReference w:type="default" r:id="rId12"/>
      <w:pgSz w:w="11906" w:h="16838"/>
      <w:pgMar w:top="709" w:right="1077" w:bottom="1418" w:left="1077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9970C" w14:textId="77777777" w:rsidR="00930E96" w:rsidRDefault="00930E96" w:rsidP="005F5C9E">
      <w:pPr>
        <w:spacing w:after="0" w:line="240" w:lineRule="auto"/>
      </w:pPr>
      <w:r>
        <w:separator/>
      </w:r>
    </w:p>
  </w:endnote>
  <w:endnote w:type="continuationSeparator" w:id="0">
    <w:p w14:paraId="7DF6E12A" w14:textId="77777777" w:rsidR="00930E96" w:rsidRDefault="00930E96" w:rsidP="005F5C9E">
      <w:pPr>
        <w:spacing w:after="0" w:line="240" w:lineRule="auto"/>
      </w:pPr>
      <w:r>
        <w:continuationSeparator/>
      </w:r>
    </w:p>
  </w:endnote>
  <w:endnote w:type="continuationNotice" w:id="1">
    <w:p w14:paraId="55E08383" w14:textId="77777777" w:rsidR="00930E96" w:rsidRDefault="0093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05196" w14:textId="2689BDE2" w:rsidR="004F78FD" w:rsidRDefault="004F78FD">
    <w:pPr>
      <w:pStyle w:val="Stopka"/>
      <w:jc w:val="right"/>
    </w:pPr>
    <w:proofErr w:type="gramStart"/>
    <w:r>
      <w:t>str</w:t>
    </w:r>
    <w:proofErr w:type="gramEnd"/>
    <w:r>
      <w:t xml:space="preserve">. </w:t>
    </w:r>
    <w:sdt>
      <w:sdtPr>
        <w:id w:val="67376149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D7DC2">
          <w:rPr>
            <w:noProof/>
          </w:rPr>
          <w:t>3</w:t>
        </w:r>
        <w:r>
          <w:fldChar w:fldCharType="end"/>
        </w:r>
        <w:r>
          <w:t>/</w:t>
        </w:r>
        <w:fldSimple w:instr=" NUMPAGES  \* Arabic  \* MERGEFORMAT ">
          <w:r w:rsidR="003D7DC2">
            <w:rPr>
              <w:noProof/>
            </w:rPr>
            <w:t>3</w:t>
          </w:r>
        </w:fldSimple>
      </w:sdtContent>
    </w:sdt>
  </w:p>
  <w:p w14:paraId="0396D68A" w14:textId="77777777" w:rsidR="004F78FD" w:rsidRDefault="004F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846E" w14:textId="77777777" w:rsidR="00930E96" w:rsidRDefault="00930E96" w:rsidP="005F5C9E">
      <w:pPr>
        <w:spacing w:after="0" w:line="240" w:lineRule="auto"/>
      </w:pPr>
      <w:r>
        <w:separator/>
      </w:r>
    </w:p>
  </w:footnote>
  <w:footnote w:type="continuationSeparator" w:id="0">
    <w:p w14:paraId="68E88016" w14:textId="77777777" w:rsidR="00930E96" w:rsidRDefault="00930E96" w:rsidP="005F5C9E">
      <w:pPr>
        <w:spacing w:after="0" w:line="240" w:lineRule="auto"/>
      </w:pPr>
      <w:r>
        <w:continuationSeparator/>
      </w:r>
    </w:p>
  </w:footnote>
  <w:footnote w:type="continuationNotice" w:id="1">
    <w:p w14:paraId="5AEDCA0A" w14:textId="77777777" w:rsidR="00930E96" w:rsidRDefault="00930E9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22798"/>
    <w:rsid w:val="00026175"/>
    <w:rsid w:val="00033115"/>
    <w:rsid w:val="00040ED2"/>
    <w:rsid w:val="00051FDF"/>
    <w:rsid w:val="0005387B"/>
    <w:rsid w:val="00070168"/>
    <w:rsid w:val="00071BE5"/>
    <w:rsid w:val="000826F8"/>
    <w:rsid w:val="000B1CDE"/>
    <w:rsid w:val="000C4A7D"/>
    <w:rsid w:val="000D37CE"/>
    <w:rsid w:val="000E3014"/>
    <w:rsid w:val="000F7239"/>
    <w:rsid w:val="00103ECD"/>
    <w:rsid w:val="00115380"/>
    <w:rsid w:val="00116F54"/>
    <w:rsid w:val="00132102"/>
    <w:rsid w:val="00144E4C"/>
    <w:rsid w:val="00145271"/>
    <w:rsid w:val="00145290"/>
    <w:rsid w:val="001507C3"/>
    <w:rsid w:val="00150BC3"/>
    <w:rsid w:val="00160357"/>
    <w:rsid w:val="001754FC"/>
    <w:rsid w:val="001A0680"/>
    <w:rsid w:val="001B687C"/>
    <w:rsid w:val="001C244F"/>
    <w:rsid w:val="001C46D4"/>
    <w:rsid w:val="001D08B4"/>
    <w:rsid w:val="001D250D"/>
    <w:rsid w:val="001E43F1"/>
    <w:rsid w:val="001F29A2"/>
    <w:rsid w:val="002128AF"/>
    <w:rsid w:val="00214014"/>
    <w:rsid w:val="00215415"/>
    <w:rsid w:val="002208B1"/>
    <w:rsid w:val="00220ED4"/>
    <w:rsid w:val="002227E8"/>
    <w:rsid w:val="00231A80"/>
    <w:rsid w:val="00242472"/>
    <w:rsid w:val="0028077E"/>
    <w:rsid w:val="00284F06"/>
    <w:rsid w:val="002A3CF3"/>
    <w:rsid w:val="002B06D3"/>
    <w:rsid w:val="002B1670"/>
    <w:rsid w:val="00305FD8"/>
    <w:rsid w:val="00306A42"/>
    <w:rsid w:val="003137B9"/>
    <w:rsid w:val="00332846"/>
    <w:rsid w:val="00343908"/>
    <w:rsid w:val="00347720"/>
    <w:rsid w:val="00351E8B"/>
    <w:rsid w:val="00375641"/>
    <w:rsid w:val="00382AD0"/>
    <w:rsid w:val="003B7C56"/>
    <w:rsid w:val="003C58CB"/>
    <w:rsid w:val="003D4329"/>
    <w:rsid w:val="003D4688"/>
    <w:rsid w:val="003D7DC2"/>
    <w:rsid w:val="00403CF9"/>
    <w:rsid w:val="004151FA"/>
    <w:rsid w:val="004239F8"/>
    <w:rsid w:val="004321EE"/>
    <w:rsid w:val="00432866"/>
    <w:rsid w:val="004809ED"/>
    <w:rsid w:val="00481637"/>
    <w:rsid w:val="00490759"/>
    <w:rsid w:val="00493D12"/>
    <w:rsid w:val="004B2507"/>
    <w:rsid w:val="004E1800"/>
    <w:rsid w:val="004F78FD"/>
    <w:rsid w:val="0050239E"/>
    <w:rsid w:val="00513EC0"/>
    <w:rsid w:val="00514F60"/>
    <w:rsid w:val="00544099"/>
    <w:rsid w:val="00571962"/>
    <w:rsid w:val="005838CE"/>
    <w:rsid w:val="005A06ED"/>
    <w:rsid w:val="005A297A"/>
    <w:rsid w:val="005A4BB8"/>
    <w:rsid w:val="005A667A"/>
    <w:rsid w:val="005B707D"/>
    <w:rsid w:val="005C0F76"/>
    <w:rsid w:val="005F5963"/>
    <w:rsid w:val="005F5C9E"/>
    <w:rsid w:val="006038E2"/>
    <w:rsid w:val="00617E05"/>
    <w:rsid w:val="006414A2"/>
    <w:rsid w:val="00646DF6"/>
    <w:rsid w:val="00651293"/>
    <w:rsid w:val="0067312B"/>
    <w:rsid w:val="00675F02"/>
    <w:rsid w:val="006A669B"/>
    <w:rsid w:val="006C6758"/>
    <w:rsid w:val="006C6C40"/>
    <w:rsid w:val="006D1A18"/>
    <w:rsid w:val="006D5ECE"/>
    <w:rsid w:val="00711879"/>
    <w:rsid w:val="00717B2B"/>
    <w:rsid w:val="00722A7D"/>
    <w:rsid w:val="007238BC"/>
    <w:rsid w:val="00751A6D"/>
    <w:rsid w:val="007561FF"/>
    <w:rsid w:val="00782A17"/>
    <w:rsid w:val="00793ADB"/>
    <w:rsid w:val="007A24EC"/>
    <w:rsid w:val="007A3BB2"/>
    <w:rsid w:val="007B2FC5"/>
    <w:rsid w:val="007B4CC8"/>
    <w:rsid w:val="007B6B27"/>
    <w:rsid w:val="007B78C4"/>
    <w:rsid w:val="007C6853"/>
    <w:rsid w:val="007C71AE"/>
    <w:rsid w:val="007D4020"/>
    <w:rsid w:val="007E3F7D"/>
    <w:rsid w:val="0082242F"/>
    <w:rsid w:val="00840856"/>
    <w:rsid w:val="00846481"/>
    <w:rsid w:val="008614F6"/>
    <w:rsid w:val="0086567E"/>
    <w:rsid w:val="00884DEE"/>
    <w:rsid w:val="008964AA"/>
    <w:rsid w:val="00897521"/>
    <w:rsid w:val="008B6720"/>
    <w:rsid w:val="008D4F57"/>
    <w:rsid w:val="008D6551"/>
    <w:rsid w:val="008E270F"/>
    <w:rsid w:val="008F3BE8"/>
    <w:rsid w:val="00927D91"/>
    <w:rsid w:val="00930E96"/>
    <w:rsid w:val="009352C7"/>
    <w:rsid w:val="0094395D"/>
    <w:rsid w:val="00957676"/>
    <w:rsid w:val="00965725"/>
    <w:rsid w:val="00975B07"/>
    <w:rsid w:val="0098519E"/>
    <w:rsid w:val="009A1051"/>
    <w:rsid w:val="009B5702"/>
    <w:rsid w:val="009E2DF7"/>
    <w:rsid w:val="009E3146"/>
    <w:rsid w:val="009E6163"/>
    <w:rsid w:val="00A078F0"/>
    <w:rsid w:val="00A10C6C"/>
    <w:rsid w:val="00A11F4A"/>
    <w:rsid w:val="00A2007F"/>
    <w:rsid w:val="00A25A09"/>
    <w:rsid w:val="00A44574"/>
    <w:rsid w:val="00A55EFC"/>
    <w:rsid w:val="00A666FC"/>
    <w:rsid w:val="00A712D1"/>
    <w:rsid w:val="00A83DBE"/>
    <w:rsid w:val="00AA7B24"/>
    <w:rsid w:val="00AB6C9C"/>
    <w:rsid w:val="00AD2119"/>
    <w:rsid w:val="00AE2AD2"/>
    <w:rsid w:val="00AE2E1D"/>
    <w:rsid w:val="00AF456D"/>
    <w:rsid w:val="00B141F7"/>
    <w:rsid w:val="00B231E3"/>
    <w:rsid w:val="00B23D18"/>
    <w:rsid w:val="00B37FDD"/>
    <w:rsid w:val="00B83FB9"/>
    <w:rsid w:val="00B848F8"/>
    <w:rsid w:val="00BA72F1"/>
    <w:rsid w:val="00BB24C5"/>
    <w:rsid w:val="00BB62F0"/>
    <w:rsid w:val="00BC2420"/>
    <w:rsid w:val="00BD2DCF"/>
    <w:rsid w:val="00BD55A2"/>
    <w:rsid w:val="00BE7777"/>
    <w:rsid w:val="00C11B47"/>
    <w:rsid w:val="00C12156"/>
    <w:rsid w:val="00C3360A"/>
    <w:rsid w:val="00C42E46"/>
    <w:rsid w:val="00C45BBD"/>
    <w:rsid w:val="00C51A63"/>
    <w:rsid w:val="00C770E5"/>
    <w:rsid w:val="00C82D3D"/>
    <w:rsid w:val="00C84F68"/>
    <w:rsid w:val="00C93C5A"/>
    <w:rsid w:val="00CA12FA"/>
    <w:rsid w:val="00CD52CE"/>
    <w:rsid w:val="00CE77BB"/>
    <w:rsid w:val="00D02BD3"/>
    <w:rsid w:val="00D02E72"/>
    <w:rsid w:val="00D22011"/>
    <w:rsid w:val="00D23EF4"/>
    <w:rsid w:val="00D4030D"/>
    <w:rsid w:val="00D66D79"/>
    <w:rsid w:val="00D72B46"/>
    <w:rsid w:val="00D75168"/>
    <w:rsid w:val="00D777EF"/>
    <w:rsid w:val="00D87A9A"/>
    <w:rsid w:val="00D916E3"/>
    <w:rsid w:val="00D93616"/>
    <w:rsid w:val="00DB67E7"/>
    <w:rsid w:val="00DC5F47"/>
    <w:rsid w:val="00DD0124"/>
    <w:rsid w:val="00DE5115"/>
    <w:rsid w:val="00DE6FBB"/>
    <w:rsid w:val="00E00429"/>
    <w:rsid w:val="00E0194F"/>
    <w:rsid w:val="00E171F3"/>
    <w:rsid w:val="00E32005"/>
    <w:rsid w:val="00E51C04"/>
    <w:rsid w:val="00E54536"/>
    <w:rsid w:val="00E60BF5"/>
    <w:rsid w:val="00E62CD9"/>
    <w:rsid w:val="00E66682"/>
    <w:rsid w:val="00E76F5D"/>
    <w:rsid w:val="00E80C50"/>
    <w:rsid w:val="00ED1E2B"/>
    <w:rsid w:val="00EE25E1"/>
    <w:rsid w:val="00F02E94"/>
    <w:rsid w:val="00F12C21"/>
    <w:rsid w:val="00F15CBD"/>
    <w:rsid w:val="00F22C3E"/>
    <w:rsid w:val="00F23847"/>
    <w:rsid w:val="00F279F5"/>
    <w:rsid w:val="00F32B6A"/>
    <w:rsid w:val="00F61418"/>
    <w:rsid w:val="00F63244"/>
    <w:rsid w:val="00F679F1"/>
    <w:rsid w:val="00F80D4A"/>
    <w:rsid w:val="00F8546C"/>
    <w:rsid w:val="00F97107"/>
    <w:rsid w:val="00FA3434"/>
    <w:rsid w:val="00FC0E48"/>
    <w:rsid w:val="00FF3CD0"/>
    <w:rsid w:val="11438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F135-D7A5-4CD2-97FD-18ECD9A16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291D7-CD7F-49EF-A164-A5EE2298D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CB791D11</Template>
  <TotalTime>149</TotalTime>
  <Pages>3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karol.maciak</cp:lastModifiedBy>
  <cp:revision>29</cp:revision>
  <cp:lastPrinted>2019-11-08T09:12:00Z</cp:lastPrinted>
  <dcterms:created xsi:type="dcterms:W3CDTF">2020-01-22T14:15:00Z</dcterms:created>
  <dcterms:modified xsi:type="dcterms:W3CDTF">2022-05-23T12:29:00Z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